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val="en-US"/>
        </w:rPr>
        <w:id w:val="1334283253"/>
        <w:docPartObj>
          <w:docPartGallery w:val="Cover Pages"/>
          <w:docPartUnique/>
        </w:docPartObj>
      </w:sdtPr>
      <w:sdtEndPr>
        <w:rPr>
          <w:rFonts w:asciiTheme="minorHAnsi" w:eastAsiaTheme="minorHAnsi" w:hAnsiTheme="minorHAnsi" w:cstheme="minorBidi"/>
          <w:b/>
          <w:caps w:val="0"/>
          <w:lang w:val="fr-CA"/>
        </w:rPr>
      </w:sdtEndPr>
      <w:sdtContent>
        <w:tbl>
          <w:tblPr>
            <w:tblpPr w:leftFromText="141" w:rightFromText="141" w:vertAnchor="page" w:horzAnchor="margin" w:tblpY="2639"/>
            <w:tblW w:w="5000" w:type="pct"/>
            <w:tblLook w:val="04A0" w:firstRow="1" w:lastRow="0" w:firstColumn="1" w:lastColumn="0" w:noHBand="0" w:noVBand="1"/>
          </w:tblPr>
          <w:tblGrid>
            <w:gridCol w:w="9576"/>
          </w:tblGrid>
          <w:tr w:rsidR="00DC271C" w:rsidRPr="004C75DA" w:rsidTr="00DC271C">
            <w:trPr>
              <w:trHeight w:val="2880"/>
            </w:trPr>
            <w:tc>
              <w:tcPr>
                <w:tcW w:w="5000" w:type="pct"/>
              </w:tcPr>
              <w:p w:rsidR="00DC271C" w:rsidRDefault="00FA60B3" w:rsidP="00DC271C">
                <w:pPr>
                  <w:pStyle w:val="NoSpacing"/>
                  <w:jc w:val="center"/>
                  <w:rPr>
                    <w:rFonts w:asciiTheme="majorHAnsi" w:eastAsiaTheme="majorEastAsia" w:hAnsiTheme="majorHAnsi" w:cstheme="majorBidi"/>
                    <w:caps/>
                  </w:rPr>
                </w:pPr>
                <w:sdt>
                  <w:sdtPr>
                    <w:rPr>
                      <w:rFonts w:asciiTheme="majorHAnsi" w:eastAsiaTheme="majorEastAsia" w:hAnsiTheme="majorHAnsi" w:cstheme="majorBidi"/>
                      <w:b/>
                      <w:caps/>
                      <w:sz w:val="24"/>
                    </w:rPr>
                    <w:alias w:val="Société"/>
                    <w:id w:val="15524243"/>
                    <w:dataBinding w:prefixMappings="xmlns:ns0='http://schemas.openxmlformats.org/officeDocument/2006/extended-properties'" w:xpath="/ns0:Properties[1]/ns0:Company[1]" w:storeItemID="{6668398D-A668-4E3E-A5EB-62B293D839F1}"/>
                    <w:text/>
                  </w:sdtPr>
                  <w:sdtEndPr/>
                  <w:sdtContent>
                    <w:r w:rsidR="00DC271C" w:rsidRPr="001A50B8">
                      <w:rPr>
                        <w:rFonts w:asciiTheme="majorHAnsi" w:eastAsiaTheme="majorEastAsia" w:hAnsiTheme="majorHAnsi" w:cstheme="majorBidi"/>
                        <w:b/>
                        <w:caps/>
                        <w:sz w:val="24"/>
                        <w:lang w:val="fr-CA"/>
                      </w:rPr>
                      <w:t>Association DES PROFESSEURS DE L'UNIVERSITE BISHOP'S (APBU)</w:t>
                    </w:r>
                  </w:sdtContent>
                </w:sdt>
              </w:p>
            </w:tc>
          </w:tr>
          <w:tr w:rsidR="00D829E6" w:rsidRPr="004C75DA" w:rsidTr="00DC271C">
            <w:trPr>
              <w:trHeight w:val="1440"/>
            </w:trPr>
            <w:sdt>
              <w:sdtPr>
                <w:rPr>
                  <w:rFonts w:ascii="Calibri" w:eastAsiaTheme="minorHAnsi" w:hAnsi="Calibri" w:cs="Calibri"/>
                  <w:b/>
                  <w:bCs/>
                  <w:color w:val="000000"/>
                  <w:sz w:val="36"/>
                  <w:szCs w:val="36"/>
                  <w:lang w:val="fr-CA"/>
                </w:rPr>
                <w:alias w:val="Titr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829E6" w:rsidRDefault="00DC271C" w:rsidP="00DC271C">
                    <w:pPr>
                      <w:pStyle w:val="NoSpacing"/>
                      <w:jc w:val="center"/>
                      <w:rPr>
                        <w:rFonts w:asciiTheme="majorHAnsi" w:eastAsiaTheme="majorEastAsia" w:hAnsiTheme="majorHAnsi" w:cstheme="majorBidi"/>
                        <w:sz w:val="80"/>
                        <w:szCs w:val="80"/>
                      </w:rPr>
                    </w:pPr>
                    <w:r w:rsidRPr="00DC271C">
                      <w:rPr>
                        <w:rFonts w:ascii="Calibri" w:eastAsiaTheme="minorHAnsi" w:hAnsi="Calibri" w:cs="Calibri"/>
                        <w:b/>
                        <w:bCs/>
                        <w:color w:val="000000"/>
                        <w:sz w:val="36"/>
                        <w:szCs w:val="36"/>
                        <w:lang w:val="fr-CA"/>
                      </w:rPr>
                      <w:t>Loi sur la restructuration des régimes de retraite à prestations déterminées du secteur universitaire et modifiant diverses dispositions législatives</w:t>
                    </w:r>
                  </w:p>
                </w:tc>
              </w:sdtContent>
            </w:sdt>
          </w:tr>
          <w:tr w:rsidR="00D829E6" w:rsidRPr="00D829E6" w:rsidTr="00DC271C">
            <w:trPr>
              <w:trHeight w:val="720"/>
            </w:trPr>
            <w:sdt>
              <w:sdtPr>
                <w:rPr>
                  <w:rFonts w:ascii="Calibri" w:hAnsi="Calibri" w:cs="Calibri"/>
                  <w:b/>
                  <w:bCs/>
                  <w:color w:val="000000"/>
                  <w:sz w:val="32"/>
                  <w:szCs w:val="32"/>
                  <w:lang w:val="fr-CA"/>
                </w:rPr>
                <w:alias w:val="Sous-titr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D829E6" w:rsidRDefault="00DC271C" w:rsidP="00DC271C">
                    <w:pPr>
                      <w:pStyle w:val="NoSpacing"/>
                      <w:jc w:val="center"/>
                      <w:rPr>
                        <w:rFonts w:asciiTheme="majorHAnsi" w:eastAsiaTheme="majorEastAsia" w:hAnsiTheme="majorHAnsi" w:cstheme="majorBidi"/>
                        <w:sz w:val="44"/>
                        <w:szCs w:val="44"/>
                      </w:rPr>
                    </w:pPr>
                    <w:r>
                      <w:rPr>
                        <w:rFonts w:ascii="Calibri" w:hAnsi="Calibri" w:cs="Calibri"/>
                        <w:b/>
                        <w:bCs/>
                        <w:color w:val="000000"/>
                        <w:sz w:val="32"/>
                        <w:szCs w:val="32"/>
                        <w:lang w:val="fr-CA"/>
                      </w:rPr>
                      <w:t>Projet de L</w:t>
                    </w:r>
                    <w:r w:rsidRPr="00DC271C">
                      <w:rPr>
                        <w:rFonts w:ascii="Calibri" w:hAnsi="Calibri" w:cs="Calibri"/>
                        <w:b/>
                        <w:bCs/>
                        <w:color w:val="000000"/>
                        <w:sz w:val="32"/>
                        <w:szCs w:val="32"/>
                        <w:lang w:val="fr-CA"/>
                      </w:rPr>
                      <w:t>oi no 75</w:t>
                    </w:r>
                  </w:p>
                </w:tc>
              </w:sdtContent>
            </w:sdt>
          </w:tr>
          <w:tr w:rsidR="00D829E6" w:rsidRPr="00D829E6" w:rsidTr="00DC271C">
            <w:trPr>
              <w:trHeight w:val="360"/>
            </w:trPr>
            <w:tc>
              <w:tcPr>
                <w:tcW w:w="5000" w:type="pct"/>
                <w:vAlign w:val="center"/>
              </w:tcPr>
              <w:p w:rsidR="00D829E6" w:rsidRDefault="00D829E6" w:rsidP="00DC271C">
                <w:pPr>
                  <w:pStyle w:val="NoSpacing"/>
                  <w:jc w:val="center"/>
                </w:pPr>
              </w:p>
            </w:tc>
          </w:tr>
          <w:tr w:rsidR="00D829E6" w:rsidRPr="00DC271C" w:rsidTr="00DC271C">
            <w:trPr>
              <w:trHeight w:val="360"/>
            </w:trPr>
            <w:tc>
              <w:tcPr>
                <w:tcW w:w="5000" w:type="pct"/>
                <w:vAlign w:val="center"/>
              </w:tcPr>
              <w:p w:rsidR="00D829E6" w:rsidRDefault="00D829E6" w:rsidP="00DC271C">
                <w:pPr>
                  <w:pStyle w:val="NoSpacing"/>
                  <w:jc w:val="center"/>
                  <w:rPr>
                    <w:b/>
                    <w:bCs/>
                  </w:rPr>
                </w:pPr>
              </w:p>
            </w:tc>
          </w:tr>
          <w:tr w:rsidR="00D829E6" w:rsidTr="00DC271C">
            <w:trPr>
              <w:trHeight w:val="360"/>
            </w:trPr>
            <w:tc>
              <w:tcPr>
                <w:tcW w:w="5000" w:type="pct"/>
                <w:vAlign w:val="center"/>
              </w:tcPr>
              <w:p w:rsidR="00D829E6" w:rsidRDefault="00D829E6" w:rsidP="00DC271C">
                <w:pPr>
                  <w:pStyle w:val="NoSpacing"/>
                  <w:jc w:val="center"/>
                  <w:rPr>
                    <w:b/>
                    <w:bCs/>
                  </w:rPr>
                </w:pPr>
              </w:p>
            </w:tc>
          </w:tr>
        </w:tbl>
        <w:p w:rsidR="00D829E6" w:rsidRDefault="00D829E6">
          <w:pPr>
            <w:rPr>
              <w:lang w:val="fr-FR"/>
            </w:rPr>
          </w:pPr>
        </w:p>
        <w:p w:rsidR="00D829E6" w:rsidRDefault="00D829E6">
          <w:pPr>
            <w:rPr>
              <w:lang w:val="fr-FR"/>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D829E6" w:rsidRPr="00D829E6">
            <w:sdt>
              <w:sdtPr>
                <w:alias w:val="Résumé"/>
                <w:id w:val="8276291"/>
                <w:dataBinding w:prefixMappings="xmlns:ns0='http://schemas.microsoft.com/office/2006/coverPageProps'" w:xpath="/ns0:CoverPageProperties[1]/ns0:Abstract[1]" w:storeItemID="{55AF091B-3C7A-41E3-B477-F2FDAA23CFDA}"/>
                <w:text/>
              </w:sdtPr>
              <w:sdtEndPr/>
              <w:sdtContent>
                <w:tc>
                  <w:tcPr>
                    <w:tcW w:w="5000" w:type="pct"/>
                  </w:tcPr>
                  <w:p w:rsidR="00D829E6" w:rsidRDefault="00DC271C" w:rsidP="00DC271C">
                    <w:pPr>
                      <w:pStyle w:val="NoSpacing"/>
                      <w:jc w:val="center"/>
                    </w:pPr>
                    <w:r>
                      <w:t xml:space="preserve">08 Février 2016 </w:t>
                    </w:r>
                  </w:p>
                </w:tc>
              </w:sdtContent>
            </w:sdt>
          </w:tr>
        </w:tbl>
        <w:bookmarkStart w:id="0" w:name="_GoBack" w:displacedByCustomXml="next"/>
        <w:sdt>
          <w:sdtPr>
            <w:rPr>
              <w:rFonts w:ascii="Calibri" w:hAnsi="Calibri" w:cs="Calibri"/>
              <w:color w:val="000000"/>
              <w:sz w:val="28"/>
              <w:szCs w:val="28"/>
              <w:lang w:val="fr-CA"/>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p w:rsidR="00D829E6" w:rsidRPr="00DC271C" w:rsidRDefault="005367DF" w:rsidP="00DC271C">
              <w:pPr>
                <w:jc w:val="center"/>
                <w:rPr>
                  <w:sz w:val="28"/>
                  <w:szCs w:val="28"/>
                  <w:lang w:val="fr-FR"/>
                </w:rPr>
              </w:pPr>
              <w:r w:rsidRPr="001A50B8">
                <w:rPr>
                  <w:rFonts w:ascii="Calibri" w:hAnsi="Calibri" w:cs="Calibri"/>
                  <w:color w:val="000000"/>
                  <w:sz w:val="28"/>
                  <w:szCs w:val="28"/>
                  <w:lang w:val="fr-CA"/>
                </w:rPr>
                <w:t>Mémoire présenté à la Commission de l’économie et du travail</w:t>
              </w:r>
            </w:p>
          </w:sdtContent>
        </w:sdt>
        <w:bookmarkEnd w:id="0" w:displacedByCustomXml="prev"/>
        <w:p w:rsidR="00D829E6" w:rsidRDefault="00D829E6">
          <w:pPr>
            <w:rPr>
              <w:b/>
              <w:lang w:val="fr-CA"/>
            </w:rPr>
          </w:pPr>
          <w:r>
            <w:rPr>
              <w:b/>
              <w:lang w:val="fr-CA"/>
            </w:rPr>
            <w:br w:type="page"/>
          </w:r>
        </w:p>
      </w:sdtContent>
    </w:sdt>
    <w:p w:rsidR="000B1D2B" w:rsidRDefault="000B1D2B" w:rsidP="000B1D2B">
      <w:pPr>
        <w:spacing w:line="240" w:lineRule="auto"/>
        <w:rPr>
          <w:b/>
          <w:lang w:val="fr-CA"/>
        </w:rPr>
      </w:pPr>
    </w:p>
    <w:p w:rsidR="000B1D2B" w:rsidRDefault="000B1D2B" w:rsidP="000B1D2B">
      <w:pPr>
        <w:spacing w:line="240" w:lineRule="auto"/>
        <w:rPr>
          <w:b/>
          <w:lang w:val="fr-CA"/>
        </w:rPr>
      </w:pPr>
    </w:p>
    <w:p w:rsidR="000B1D2B" w:rsidRDefault="000B1D2B" w:rsidP="000B1D2B">
      <w:pPr>
        <w:spacing w:line="240" w:lineRule="auto"/>
        <w:rPr>
          <w:b/>
          <w:lang w:val="fr-CA"/>
        </w:rPr>
      </w:pPr>
    </w:p>
    <w:p w:rsidR="000B1D2B" w:rsidRDefault="000B1D2B" w:rsidP="000B1D2B">
      <w:pPr>
        <w:spacing w:line="240" w:lineRule="auto"/>
        <w:rPr>
          <w:b/>
          <w:lang w:val="fr-CA"/>
        </w:rPr>
      </w:pPr>
    </w:p>
    <w:p w:rsidR="000B1D2B" w:rsidRDefault="000B1D2B" w:rsidP="000B1D2B">
      <w:pPr>
        <w:spacing w:line="240" w:lineRule="auto"/>
        <w:rPr>
          <w:b/>
          <w:lang w:val="fr-CA"/>
        </w:rPr>
      </w:pPr>
    </w:p>
    <w:p w:rsidR="000B1D2B" w:rsidRDefault="000B1D2B" w:rsidP="000B1D2B">
      <w:pPr>
        <w:spacing w:line="240" w:lineRule="auto"/>
        <w:rPr>
          <w:b/>
          <w:lang w:val="fr-CA"/>
        </w:rPr>
      </w:pPr>
    </w:p>
    <w:p w:rsidR="00804EFA" w:rsidRPr="00BD7DEA" w:rsidRDefault="0067033B" w:rsidP="000B1D2B">
      <w:pPr>
        <w:spacing w:line="240" w:lineRule="auto"/>
        <w:rPr>
          <w:b/>
          <w:sz w:val="28"/>
          <w:lang w:val="fr-CA"/>
        </w:rPr>
      </w:pPr>
      <w:r w:rsidRPr="00BD7DEA">
        <w:rPr>
          <w:b/>
          <w:sz w:val="28"/>
          <w:lang w:val="fr-CA"/>
        </w:rPr>
        <w:t xml:space="preserve">1) </w:t>
      </w:r>
      <w:r w:rsidR="00E84EDF" w:rsidRPr="00BD7DEA">
        <w:rPr>
          <w:b/>
          <w:sz w:val="28"/>
          <w:lang w:val="fr-CA"/>
        </w:rPr>
        <w:t xml:space="preserve">Présentation </w:t>
      </w:r>
    </w:p>
    <w:p w:rsidR="00804EFA" w:rsidRPr="00BD2182" w:rsidRDefault="00E84EDF" w:rsidP="000B1D2B">
      <w:pPr>
        <w:spacing w:line="240" w:lineRule="auto"/>
        <w:jc w:val="both"/>
        <w:rPr>
          <w:sz w:val="24"/>
          <w:szCs w:val="24"/>
          <w:lang w:val="fr-CA"/>
        </w:rPr>
      </w:pPr>
      <w:r>
        <w:rPr>
          <w:sz w:val="24"/>
          <w:szCs w:val="24"/>
          <w:lang w:val="fr-CA"/>
        </w:rPr>
        <w:t>L’A</w:t>
      </w:r>
      <w:r w:rsidR="00C93B2F">
        <w:rPr>
          <w:sz w:val="24"/>
          <w:szCs w:val="24"/>
          <w:lang w:val="fr-CA"/>
        </w:rPr>
        <w:t>ssociation des p</w:t>
      </w:r>
      <w:r>
        <w:rPr>
          <w:sz w:val="24"/>
          <w:szCs w:val="24"/>
          <w:lang w:val="fr-CA"/>
        </w:rPr>
        <w:t>rofesseurs</w:t>
      </w:r>
      <w:r w:rsidR="00804EFA" w:rsidRPr="00BD2182">
        <w:rPr>
          <w:sz w:val="24"/>
          <w:szCs w:val="24"/>
          <w:lang w:val="fr-CA"/>
        </w:rPr>
        <w:t xml:space="preserve"> de </w:t>
      </w:r>
      <w:r w:rsidR="00C93B2F">
        <w:rPr>
          <w:sz w:val="24"/>
          <w:szCs w:val="24"/>
          <w:lang w:val="fr-CA"/>
        </w:rPr>
        <w:t xml:space="preserve">l'Université </w:t>
      </w:r>
      <w:proofErr w:type="spellStart"/>
      <w:r w:rsidR="00804EFA" w:rsidRPr="00BD2182">
        <w:rPr>
          <w:sz w:val="24"/>
          <w:szCs w:val="24"/>
          <w:lang w:val="fr-CA"/>
        </w:rPr>
        <w:t>Bishop’s</w:t>
      </w:r>
      <w:proofErr w:type="spellEnd"/>
      <w:r w:rsidR="00804EFA" w:rsidRPr="00BD2182">
        <w:rPr>
          <w:sz w:val="24"/>
          <w:szCs w:val="24"/>
          <w:lang w:val="fr-CA"/>
        </w:rPr>
        <w:t xml:space="preserve"> (APBU) tient </w:t>
      </w:r>
      <w:r w:rsidR="00C93B2F">
        <w:rPr>
          <w:sz w:val="24"/>
          <w:szCs w:val="24"/>
          <w:lang w:val="fr-CA"/>
        </w:rPr>
        <w:t>en premier lieu à remercier la C</w:t>
      </w:r>
      <w:r w:rsidR="00804EFA" w:rsidRPr="00BD2182">
        <w:rPr>
          <w:sz w:val="24"/>
          <w:szCs w:val="24"/>
          <w:lang w:val="fr-CA"/>
        </w:rPr>
        <w:t>ommission de l’économie et du travail pour l’invitation à participer aux consultations sur le projet de loi 75</w:t>
      </w:r>
      <w:r w:rsidR="00072325">
        <w:rPr>
          <w:sz w:val="24"/>
          <w:szCs w:val="24"/>
          <w:lang w:val="fr-CA"/>
        </w:rPr>
        <w:t xml:space="preserve"> (PL75)</w:t>
      </w:r>
      <w:r w:rsidR="00804EFA" w:rsidRPr="00BD2182">
        <w:rPr>
          <w:sz w:val="24"/>
          <w:szCs w:val="24"/>
          <w:lang w:val="fr-CA"/>
        </w:rPr>
        <w:t>. Ce mémoire présente une vue d’</w:t>
      </w:r>
      <w:r w:rsidR="00C93B2F">
        <w:rPr>
          <w:sz w:val="24"/>
          <w:szCs w:val="24"/>
          <w:lang w:val="fr-CA"/>
        </w:rPr>
        <w:t>ensemble du Régime de p</w:t>
      </w:r>
      <w:r w:rsidR="00804EFA" w:rsidRPr="00BD2182">
        <w:rPr>
          <w:sz w:val="24"/>
          <w:szCs w:val="24"/>
          <w:lang w:val="fr-CA"/>
        </w:rPr>
        <w:t>ension</w:t>
      </w:r>
      <w:r w:rsidR="00C93B2F">
        <w:rPr>
          <w:sz w:val="24"/>
          <w:szCs w:val="24"/>
          <w:lang w:val="fr-CA"/>
        </w:rPr>
        <w:t xml:space="preserve"> des employé</w:t>
      </w:r>
      <w:r w:rsidR="00804EFA" w:rsidRPr="00BD2182">
        <w:rPr>
          <w:sz w:val="24"/>
          <w:szCs w:val="24"/>
          <w:lang w:val="fr-CA"/>
        </w:rPr>
        <w:t xml:space="preserve">s </w:t>
      </w:r>
      <w:r w:rsidR="00C93B2F">
        <w:rPr>
          <w:sz w:val="24"/>
          <w:szCs w:val="24"/>
          <w:lang w:val="fr-CA"/>
        </w:rPr>
        <w:t>équivalent temps p</w:t>
      </w:r>
      <w:r w:rsidR="00021DCC" w:rsidRPr="00BD2182">
        <w:rPr>
          <w:sz w:val="24"/>
          <w:szCs w:val="24"/>
          <w:lang w:val="fr-CA"/>
        </w:rPr>
        <w:t xml:space="preserve">lein </w:t>
      </w:r>
      <w:r w:rsidR="00C93B2F">
        <w:rPr>
          <w:sz w:val="24"/>
          <w:szCs w:val="24"/>
          <w:lang w:val="fr-CA"/>
        </w:rPr>
        <w:t>(</w:t>
      </w:r>
      <w:r w:rsidR="00021DCC" w:rsidRPr="00BD2182">
        <w:rPr>
          <w:sz w:val="24"/>
          <w:szCs w:val="24"/>
          <w:lang w:val="fr-CA"/>
        </w:rPr>
        <w:t>RPEETP</w:t>
      </w:r>
      <w:r w:rsidR="00C93B2F">
        <w:rPr>
          <w:sz w:val="24"/>
          <w:szCs w:val="24"/>
          <w:lang w:val="fr-CA"/>
        </w:rPr>
        <w:t>)</w:t>
      </w:r>
      <w:r w:rsidR="00021DCC" w:rsidRPr="00BD2182">
        <w:rPr>
          <w:sz w:val="24"/>
          <w:szCs w:val="24"/>
          <w:lang w:val="fr-CA"/>
        </w:rPr>
        <w:t xml:space="preserve"> </w:t>
      </w:r>
      <w:r w:rsidR="00804EFA" w:rsidRPr="00BD2182">
        <w:rPr>
          <w:sz w:val="24"/>
          <w:szCs w:val="24"/>
          <w:lang w:val="fr-CA"/>
        </w:rPr>
        <w:t>de l’Université</w:t>
      </w:r>
      <w:r w:rsidR="00021DCC" w:rsidRPr="00BD2182">
        <w:rPr>
          <w:sz w:val="24"/>
          <w:szCs w:val="24"/>
          <w:lang w:val="fr-CA"/>
        </w:rPr>
        <w:t xml:space="preserve"> </w:t>
      </w:r>
      <w:proofErr w:type="spellStart"/>
      <w:r w:rsidR="00021DCC" w:rsidRPr="00BD2182">
        <w:rPr>
          <w:sz w:val="24"/>
          <w:szCs w:val="24"/>
          <w:lang w:val="fr-CA"/>
        </w:rPr>
        <w:t>Bishop’s</w:t>
      </w:r>
      <w:proofErr w:type="spellEnd"/>
      <w:r w:rsidR="00804EFA" w:rsidRPr="00BD2182">
        <w:rPr>
          <w:sz w:val="24"/>
          <w:szCs w:val="24"/>
          <w:lang w:val="fr-CA"/>
        </w:rPr>
        <w:t>, quelques faits saillants du régime</w:t>
      </w:r>
      <w:r>
        <w:rPr>
          <w:sz w:val="24"/>
          <w:szCs w:val="24"/>
          <w:lang w:val="fr-CA"/>
        </w:rPr>
        <w:t>,</w:t>
      </w:r>
      <w:r w:rsidR="00804EFA" w:rsidRPr="00BD2182">
        <w:rPr>
          <w:sz w:val="24"/>
          <w:szCs w:val="24"/>
          <w:lang w:val="fr-CA"/>
        </w:rPr>
        <w:t xml:space="preserve"> ainsi qu’un ensemble de propositions de modifications au projet de loi qui découlent</w:t>
      </w:r>
      <w:r w:rsidR="00F95EBC">
        <w:rPr>
          <w:sz w:val="24"/>
          <w:szCs w:val="24"/>
          <w:lang w:val="fr-CA"/>
        </w:rPr>
        <w:t xml:space="preserve"> de la situation particulière de notre</w:t>
      </w:r>
      <w:r w:rsidR="00804EFA" w:rsidRPr="00BD2182">
        <w:rPr>
          <w:sz w:val="24"/>
          <w:szCs w:val="24"/>
          <w:lang w:val="fr-CA"/>
        </w:rPr>
        <w:t xml:space="preserve"> régime.</w:t>
      </w:r>
    </w:p>
    <w:p w:rsidR="00457C3F" w:rsidRPr="00BD2182" w:rsidRDefault="00580806" w:rsidP="000B1D2B">
      <w:pPr>
        <w:spacing w:line="240" w:lineRule="auto"/>
        <w:jc w:val="both"/>
        <w:rPr>
          <w:sz w:val="24"/>
          <w:szCs w:val="24"/>
          <w:lang w:val="fr-CA"/>
        </w:rPr>
      </w:pPr>
      <w:r w:rsidRPr="00BD2182">
        <w:rPr>
          <w:sz w:val="24"/>
          <w:szCs w:val="24"/>
          <w:lang w:val="fr-CA"/>
        </w:rPr>
        <w:t>Pour faire face à l</w:t>
      </w:r>
      <w:r w:rsidR="00021DCC" w:rsidRPr="00BD2182">
        <w:rPr>
          <w:sz w:val="24"/>
          <w:szCs w:val="24"/>
          <w:lang w:val="fr-CA"/>
        </w:rPr>
        <w:t xml:space="preserve">a maturité du RPEETP de l’Université </w:t>
      </w:r>
      <w:proofErr w:type="spellStart"/>
      <w:r w:rsidR="00021DCC" w:rsidRPr="00BD2182">
        <w:rPr>
          <w:sz w:val="24"/>
          <w:szCs w:val="24"/>
          <w:lang w:val="fr-CA"/>
        </w:rPr>
        <w:t>Bishop’s</w:t>
      </w:r>
      <w:proofErr w:type="spellEnd"/>
      <w:r w:rsidR="00021DCC" w:rsidRPr="00BD2182">
        <w:rPr>
          <w:sz w:val="24"/>
          <w:szCs w:val="24"/>
          <w:lang w:val="fr-CA"/>
        </w:rPr>
        <w:t xml:space="preserve"> et </w:t>
      </w:r>
      <w:r w:rsidRPr="00BD2182">
        <w:rPr>
          <w:sz w:val="24"/>
          <w:szCs w:val="24"/>
          <w:lang w:val="fr-CA"/>
        </w:rPr>
        <w:t>au</w:t>
      </w:r>
      <w:r w:rsidR="00021DCC" w:rsidRPr="00BD2182">
        <w:rPr>
          <w:sz w:val="24"/>
          <w:szCs w:val="24"/>
          <w:lang w:val="fr-CA"/>
        </w:rPr>
        <w:t xml:space="preserve"> déficit actuariel</w:t>
      </w:r>
      <w:r w:rsidRPr="00BD2182">
        <w:rPr>
          <w:sz w:val="24"/>
          <w:szCs w:val="24"/>
          <w:lang w:val="fr-CA"/>
        </w:rPr>
        <w:t xml:space="preserve"> enregistré,</w:t>
      </w:r>
      <w:r w:rsidR="00E84EDF">
        <w:rPr>
          <w:sz w:val="24"/>
          <w:szCs w:val="24"/>
          <w:lang w:val="fr-CA"/>
        </w:rPr>
        <w:t xml:space="preserve"> </w:t>
      </w:r>
      <w:r w:rsidR="00021DCC" w:rsidRPr="00BD2182">
        <w:rPr>
          <w:sz w:val="24"/>
          <w:szCs w:val="24"/>
          <w:lang w:val="fr-CA"/>
        </w:rPr>
        <w:t xml:space="preserve">l’APBU et l’administration universitaire </w:t>
      </w:r>
      <w:r w:rsidRPr="00BD2182">
        <w:rPr>
          <w:sz w:val="24"/>
          <w:szCs w:val="24"/>
          <w:lang w:val="fr-CA"/>
        </w:rPr>
        <w:t xml:space="preserve">ont </w:t>
      </w:r>
      <w:r w:rsidR="00E84EDF">
        <w:rPr>
          <w:sz w:val="24"/>
          <w:szCs w:val="24"/>
          <w:lang w:val="fr-CA"/>
        </w:rPr>
        <w:t>favorisé</w:t>
      </w:r>
      <w:r w:rsidR="00C93B2F">
        <w:rPr>
          <w:sz w:val="24"/>
          <w:szCs w:val="24"/>
          <w:lang w:val="fr-CA"/>
        </w:rPr>
        <w:t xml:space="preserve"> une approche prudente quant </w:t>
      </w:r>
      <w:r w:rsidR="00C93B2F" w:rsidRPr="00C93B2F">
        <w:rPr>
          <w:iCs/>
          <w:sz w:val="24"/>
          <w:szCs w:val="24"/>
          <w:lang w:val="fr-CA"/>
        </w:rPr>
        <w:t xml:space="preserve">à </w:t>
      </w:r>
      <w:r w:rsidR="00C93B2F">
        <w:rPr>
          <w:sz w:val="24"/>
          <w:szCs w:val="24"/>
          <w:lang w:val="fr-CA"/>
        </w:rPr>
        <w:t>la gestion du régime. Au cours des dernières années</w:t>
      </w:r>
      <w:r w:rsidR="00E84EDF">
        <w:rPr>
          <w:sz w:val="24"/>
          <w:szCs w:val="24"/>
          <w:lang w:val="fr-CA"/>
        </w:rPr>
        <w:t>, les deux parties ont négocié</w:t>
      </w:r>
      <w:r w:rsidR="009E4223">
        <w:rPr>
          <w:sz w:val="24"/>
          <w:szCs w:val="24"/>
          <w:lang w:val="fr-CA"/>
        </w:rPr>
        <w:t xml:space="preserve"> les</w:t>
      </w:r>
      <w:r w:rsidR="00C93B2F">
        <w:rPr>
          <w:sz w:val="24"/>
          <w:szCs w:val="24"/>
          <w:lang w:val="fr-CA"/>
        </w:rPr>
        <w:t xml:space="preserve"> modifications</w:t>
      </w:r>
      <w:r w:rsidR="009E4223">
        <w:rPr>
          <w:sz w:val="24"/>
          <w:szCs w:val="24"/>
          <w:lang w:val="fr-CA"/>
        </w:rPr>
        <w:t xml:space="preserve"> suivantes</w:t>
      </w:r>
      <w:r w:rsidR="00F95EBC">
        <w:rPr>
          <w:sz w:val="24"/>
          <w:szCs w:val="24"/>
          <w:lang w:val="fr-CA"/>
        </w:rPr>
        <w:t> :</w:t>
      </w:r>
      <w:r w:rsidR="00C93B2F">
        <w:rPr>
          <w:sz w:val="24"/>
          <w:szCs w:val="24"/>
          <w:lang w:val="fr-CA"/>
        </w:rPr>
        <w:t xml:space="preserve"> </w:t>
      </w:r>
    </w:p>
    <w:p w:rsidR="00E55958" w:rsidRPr="00BD2182" w:rsidRDefault="00837E69" w:rsidP="000B1D2B">
      <w:pPr>
        <w:pStyle w:val="ListParagraph"/>
        <w:numPr>
          <w:ilvl w:val="0"/>
          <w:numId w:val="1"/>
        </w:numPr>
        <w:spacing w:line="240" w:lineRule="auto"/>
        <w:jc w:val="both"/>
        <w:rPr>
          <w:sz w:val="24"/>
          <w:szCs w:val="24"/>
          <w:lang w:val="fr-CA"/>
        </w:rPr>
      </w:pPr>
      <w:r>
        <w:rPr>
          <w:sz w:val="24"/>
          <w:szCs w:val="24"/>
          <w:lang w:val="fr-CA"/>
        </w:rPr>
        <w:t>L</w:t>
      </w:r>
      <w:r w:rsidR="00E55958" w:rsidRPr="00BD2182">
        <w:rPr>
          <w:sz w:val="24"/>
          <w:szCs w:val="24"/>
          <w:lang w:val="fr-CA"/>
        </w:rPr>
        <w:t xml:space="preserve">a réduction des prestations accessoires telles que </w:t>
      </w:r>
      <w:r w:rsidR="00590B44">
        <w:rPr>
          <w:sz w:val="24"/>
          <w:szCs w:val="24"/>
          <w:lang w:val="fr-CA"/>
        </w:rPr>
        <w:t xml:space="preserve">la rente de raccordement, </w:t>
      </w:r>
      <w:r w:rsidR="00E55958" w:rsidRPr="00BD2182">
        <w:rPr>
          <w:sz w:val="24"/>
          <w:szCs w:val="24"/>
          <w:lang w:val="fr-CA"/>
        </w:rPr>
        <w:t>l’éligibilité à la retraite anticipée,</w:t>
      </w:r>
      <w:r w:rsidR="009E4223">
        <w:rPr>
          <w:sz w:val="24"/>
          <w:szCs w:val="24"/>
          <w:lang w:val="fr-CA"/>
        </w:rPr>
        <w:t xml:space="preserve"> la définition du salaire final et</w:t>
      </w:r>
      <w:r w:rsidR="00E55958" w:rsidRPr="00BD2182">
        <w:rPr>
          <w:sz w:val="24"/>
          <w:szCs w:val="24"/>
          <w:lang w:val="fr-CA"/>
        </w:rPr>
        <w:t xml:space="preserve"> les prestations au décès</w:t>
      </w:r>
      <w:r w:rsidR="009014BF">
        <w:rPr>
          <w:sz w:val="24"/>
          <w:szCs w:val="24"/>
          <w:lang w:val="fr-CA"/>
        </w:rPr>
        <w:t xml:space="preserve"> </w:t>
      </w:r>
      <w:r w:rsidR="009E4223">
        <w:rPr>
          <w:sz w:val="24"/>
          <w:szCs w:val="24"/>
          <w:lang w:val="fr-CA"/>
        </w:rPr>
        <w:t>;</w:t>
      </w:r>
    </w:p>
    <w:p w:rsidR="00E55958" w:rsidRPr="00BD2182" w:rsidRDefault="00E55958" w:rsidP="000B1D2B">
      <w:pPr>
        <w:pStyle w:val="ListParagraph"/>
        <w:numPr>
          <w:ilvl w:val="0"/>
          <w:numId w:val="1"/>
        </w:numPr>
        <w:spacing w:line="240" w:lineRule="auto"/>
        <w:jc w:val="both"/>
        <w:rPr>
          <w:sz w:val="24"/>
          <w:szCs w:val="24"/>
          <w:lang w:val="fr-CA"/>
        </w:rPr>
      </w:pPr>
      <w:r w:rsidRPr="00BD2182">
        <w:rPr>
          <w:sz w:val="24"/>
          <w:szCs w:val="24"/>
          <w:lang w:val="fr-CA"/>
        </w:rPr>
        <w:t>La défalcation</w:t>
      </w:r>
      <w:r w:rsidR="00E84EDF">
        <w:rPr>
          <w:sz w:val="24"/>
          <w:szCs w:val="24"/>
          <w:lang w:val="fr-CA"/>
        </w:rPr>
        <w:t xml:space="preserve"> d’un pourcentage du salaire (3,</w:t>
      </w:r>
      <w:r w:rsidR="009014BF">
        <w:rPr>
          <w:sz w:val="24"/>
          <w:szCs w:val="24"/>
          <w:lang w:val="fr-CA"/>
        </w:rPr>
        <w:t>7% pour l’année 2015-2016) ;</w:t>
      </w:r>
    </w:p>
    <w:p w:rsidR="00E55958" w:rsidRPr="00BD2182" w:rsidRDefault="00837E69" w:rsidP="000B1D2B">
      <w:pPr>
        <w:pStyle w:val="ListParagraph"/>
        <w:numPr>
          <w:ilvl w:val="0"/>
          <w:numId w:val="1"/>
        </w:numPr>
        <w:spacing w:line="240" w:lineRule="auto"/>
        <w:jc w:val="both"/>
        <w:rPr>
          <w:sz w:val="24"/>
          <w:szCs w:val="24"/>
          <w:lang w:val="fr-CA"/>
        </w:rPr>
      </w:pPr>
      <w:r>
        <w:rPr>
          <w:sz w:val="24"/>
          <w:szCs w:val="24"/>
          <w:lang w:val="fr-CA"/>
        </w:rPr>
        <w:t>Le p</w:t>
      </w:r>
      <w:r w:rsidR="00E55958" w:rsidRPr="00BD2182">
        <w:rPr>
          <w:sz w:val="24"/>
          <w:szCs w:val="24"/>
          <w:lang w:val="fr-CA"/>
        </w:rPr>
        <w:t>artage des coûts de financement (cotisat</w:t>
      </w:r>
      <w:r w:rsidR="009014BF">
        <w:rPr>
          <w:sz w:val="24"/>
          <w:szCs w:val="24"/>
          <w:lang w:val="fr-CA"/>
        </w:rPr>
        <w:t>ions d’exercice et d’équilibre) :</w:t>
      </w:r>
      <w:r w:rsidR="00E55958" w:rsidRPr="00BD2182">
        <w:rPr>
          <w:sz w:val="24"/>
          <w:szCs w:val="24"/>
          <w:lang w:val="fr-CA"/>
        </w:rPr>
        <w:t xml:space="preserve"> 60</w:t>
      </w:r>
      <w:r w:rsidR="009014BF">
        <w:rPr>
          <w:sz w:val="24"/>
          <w:szCs w:val="24"/>
          <w:lang w:val="fr-CA"/>
        </w:rPr>
        <w:t xml:space="preserve"> </w:t>
      </w:r>
      <w:r w:rsidR="00E55958" w:rsidRPr="00BD2182">
        <w:rPr>
          <w:sz w:val="24"/>
          <w:szCs w:val="24"/>
          <w:lang w:val="fr-CA"/>
        </w:rPr>
        <w:t>% des coûts sont assumés par l’employeur et 40</w:t>
      </w:r>
      <w:r w:rsidR="009014BF">
        <w:rPr>
          <w:sz w:val="24"/>
          <w:szCs w:val="24"/>
          <w:lang w:val="fr-CA"/>
        </w:rPr>
        <w:t xml:space="preserve"> </w:t>
      </w:r>
      <w:r w:rsidR="00E55958" w:rsidRPr="00BD2182">
        <w:rPr>
          <w:sz w:val="24"/>
          <w:szCs w:val="24"/>
          <w:lang w:val="fr-CA"/>
        </w:rPr>
        <w:t>% par les employés.</w:t>
      </w:r>
    </w:p>
    <w:p w:rsidR="009E4223" w:rsidRDefault="00E55958" w:rsidP="000B1D2B">
      <w:pPr>
        <w:spacing w:line="240" w:lineRule="auto"/>
        <w:jc w:val="both"/>
        <w:rPr>
          <w:sz w:val="24"/>
          <w:szCs w:val="24"/>
          <w:lang w:val="fr-CA"/>
        </w:rPr>
      </w:pPr>
      <w:r w:rsidRPr="00BD2182">
        <w:rPr>
          <w:sz w:val="24"/>
          <w:szCs w:val="24"/>
          <w:lang w:val="fr-CA"/>
        </w:rPr>
        <w:t>Il e</w:t>
      </w:r>
      <w:r w:rsidR="00A24C35">
        <w:rPr>
          <w:sz w:val="24"/>
          <w:szCs w:val="24"/>
          <w:lang w:val="fr-CA"/>
        </w:rPr>
        <w:t>st</w:t>
      </w:r>
      <w:r w:rsidR="009014BF">
        <w:rPr>
          <w:sz w:val="24"/>
          <w:szCs w:val="24"/>
          <w:lang w:val="fr-CA"/>
        </w:rPr>
        <w:t xml:space="preserve"> également</w:t>
      </w:r>
      <w:r w:rsidR="00837E69">
        <w:rPr>
          <w:sz w:val="24"/>
          <w:szCs w:val="24"/>
          <w:lang w:val="fr-CA"/>
        </w:rPr>
        <w:t xml:space="preserve"> </w:t>
      </w:r>
      <w:r w:rsidR="009014BF">
        <w:rPr>
          <w:sz w:val="24"/>
          <w:szCs w:val="24"/>
          <w:lang w:val="fr-CA"/>
        </w:rPr>
        <w:t>important</w:t>
      </w:r>
      <w:r w:rsidR="009E4223">
        <w:rPr>
          <w:sz w:val="24"/>
          <w:szCs w:val="24"/>
          <w:lang w:val="fr-CA"/>
        </w:rPr>
        <w:t xml:space="preserve"> </w:t>
      </w:r>
      <w:r w:rsidRPr="00BD2182">
        <w:rPr>
          <w:sz w:val="24"/>
          <w:szCs w:val="24"/>
          <w:lang w:val="fr-CA"/>
        </w:rPr>
        <w:t>de noter que</w:t>
      </w:r>
      <w:r w:rsidR="009E4223">
        <w:rPr>
          <w:sz w:val="24"/>
          <w:szCs w:val="24"/>
          <w:lang w:val="fr-CA"/>
        </w:rPr>
        <w:t xml:space="preserve"> notre régime n'offre pas d'indexation garantie</w:t>
      </w:r>
      <w:r w:rsidR="00471A63">
        <w:rPr>
          <w:sz w:val="24"/>
          <w:szCs w:val="24"/>
          <w:lang w:val="fr-CA"/>
        </w:rPr>
        <w:t xml:space="preserve"> de la rente</w:t>
      </w:r>
      <w:r w:rsidR="009E4223" w:rsidRPr="00FE7E05">
        <w:rPr>
          <w:iCs/>
          <w:sz w:val="24"/>
          <w:szCs w:val="24"/>
          <w:lang w:val="fr-CA"/>
        </w:rPr>
        <w:t xml:space="preserve"> </w:t>
      </w:r>
      <w:r w:rsidR="00277882" w:rsidRPr="00FE7E05">
        <w:rPr>
          <w:iCs/>
          <w:sz w:val="24"/>
          <w:szCs w:val="24"/>
          <w:lang w:val="fr-CA"/>
        </w:rPr>
        <w:t>viagère</w:t>
      </w:r>
      <w:r w:rsidR="00277882">
        <w:rPr>
          <w:sz w:val="24"/>
          <w:szCs w:val="24"/>
          <w:lang w:val="fr-CA"/>
        </w:rPr>
        <w:t xml:space="preserve"> </w:t>
      </w:r>
      <w:r w:rsidR="00471A63">
        <w:rPr>
          <w:iCs/>
          <w:sz w:val="24"/>
          <w:szCs w:val="24"/>
          <w:lang w:val="fr-CA"/>
        </w:rPr>
        <w:t>après</w:t>
      </w:r>
      <w:r w:rsidR="009E4223">
        <w:rPr>
          <w:sz w:val="24"/>
          <w:szCs w:val="24"/>
          <w:lang w:val="fr-CA"/>
        </w:rPr>
        <w:t xml:space="preserve"> la retraite. </w:t>
      </w:r>
      <w:r w:rsidRPr="00BD2182">
        <w:rPr>
          <w:sz w:val="24"/>
          <w:szCs w:val="24"/>
          <w:lang w:val="fr-CA"/>
        </w:rPr>
        <w:t>Cependant, malgré ces efforts</w:t>
      </w:r>
      <w:r w:rsidR="009014BF">
        <w:rPr>
          <w:sz w:val="24"/>
          <w:szCs w:val="24"/>
          <w:lang w:val="fr-CA"/>
        </w:rPr>
        <w:t>,</w:t>
      </w:r>
      <w:r w:rsidRPr="00BD2182">
        <w:rPr>
          <w:sz w:val="24"/>
          <w:szCs w:val="24"/>
          <w:lang w:val="fr-CA"/>
        </w:rPr>
        <w:t xml:space="preserve"> la capitalisation du régime </w:t>
      </w:r>
      <w:r w:rsidR="00007529" w:rsidRPr="009E4223">
        <w:rPr>
          <w:sz w:val="24"/>
          <w:szCs w:val="24"/>
          <w:lang w:val="fr-CA"/>
        </w:rPr>
        <w:t>était</w:t>
      </w:r>
      <w:r w:rsidRPr="00BD2182">
        <w:rPr>
          <w:sz w:val="24"/>
          <w:szCs w:val="24"/>
          <w:lang w:val="fr-CA"/>
        </w:rPr>
        <w:t xml:space="preserve"> à 82</w:t>
      </w:r>
      <w:r w:rsidR="00007529">
        <w:rPr>
          <w:sz w:val="24"/>
          <w:szCs w:val="24"/>
          <w:lang w:val="fr-CA"/>
        </w:rPr>
        <w:t xml:space="preserve"> </w:t>
      </w:r>
      <w:r w:rsidRPr="00BD2182">
        <w:rPr>
          <w:sz w:val="24"/>
          <w:szCs w:val="24"/>
          <w:lang w:val="fr-CA"/>
        </w:rPr>
        <w:t xml:space="preserve">% </w:t>
      </w:r>
      <w:r w:rsidR="009E4223">
        <w:rPr>
          <w:sz w:val="24"/>
          <w:szCs w:val="24"/>
          <w:lang w:val="fr-CA"/>
        </w:rPr>
        <w:t>au 30 juin 2014,</w:t>
      </w:r>
      <w:r w:rsidR="00007529">
        <w:rPr>
          <w:sz w:val="24"/>
          <w:szCs w:val="24"/>
          <w:lang w:val="fr-CA"/>
        </w:rPr>
        <w:t xml:space="preserve"> </w:t>
      </w:r>
      <w:r w:rsidRPr="00BD2182">
        <w:rPr>
          <w:sz w:val="24"/>
          <w:szCs w:val="24"/>
          <w:lang w:val="fr-CA"/>
        </w:rPr>
        <w:t xml:space="preserve">avec </w:t>
      </w:r>
      <w:r w:rsidR="00007529" w:rsidRPr="009E4223">
        <w:rPr>
          <w:sz w:val="24"/>
          <w:szCs w:val="24"/>
          <w:lang w:val="fr-CA"/>
        </w:rPr>
        <w:t>un</w:t>
      </w:r>
      <w:r w:rsidR="00007529">
        <w:rPr>
          <w:sz w:val="24"/>
          <w:szCs w:val="24"/>
          <w:lang w:val="fr-CA"/>
        </w:rPr>
        <w:t xml:space="preserve"> </w:t>
      </w:r>
      <w:r w:rsidR="009014BF">
        <w:rPr>
          <w:sz w:val="24"/>
          <w:szCs w:val="24"/>
          <w:lang w:val="fr-CA"/>
        </w:rPr>
        <w:t xml:space="preserve">coût total de </w:t>
      </w:r>
      <w:r w:rsidR="00E84EDF">
        <w:rPr>
          <w:sz w:val="24"/>
          <w:szCs w:val="24"/>
          <w:lang w:val="fr-CA"/>
        </w:rPr>
        <w:t>28,</w:t>
      </w:r>
      <w:r w:rsidRPr="00BD2182">
        <w:rPr>
          <w:sz w:val="24"/>
          <w:szCs w:val="24"/>
          <w:lang w:val="fr-CA"/>
        </w:rPr>
        <w:t>79</w:t>
      </w:r>
      <w:r w:rsidR="009E4223">
        <w:rPr>
          <w:sz w:val="24"/>
          <w:szCs w:val="24"/>
          <w:lang w:val="fr-CA"/>
        </w:rPr>
        <w:t xml:space="preserve"> </w:t>
      </w:r>
      <w:r w:rsidRPr="00BD2182">
        <w:rPr>
          <w:sz w:val="24"/>
          <w:szCs w:val="24"/>
          <w:lang w:val="fr-CA"/>
        </w:rPr>
        <w:t>% de la masse salariale.</w:t>
      </w:r>
    </w:p>
    <w:p w:rsidR="00E55958" w:rsidRPr="00BD2182" w:rsidRDefault="009E4223" w:rsidP="000B1D2B">
      <w:pPr>
        <w:spacing w:line="240" w:lineRule="auto"/>
        <w:jc w:val="both"/>
        <w:rPr>
          <w:sz w:val="24"/>
          <w:szCs w:val="24"/>
          <w:lang w:val="fr-CA"/>
        </w:rPr>
      </w:pPr>
      <w:r>
        <w:rPr>
          <w:sz w:val="24"/>
          <w:szCs w:val="24"/>
          <w:lang w:val="fr-CA"/>
        </w:rPr>
        <w:t>Un des principaux argument</w:t>
      </w:r>
      <w:r w:rsidR="009014BF">
        <w:rPr>
          <w:sz w:val="24"/>
          <w:szCs w:val="24"/>
          <w:lang w:val="fr-CA"/>
        </w:rPr>
        <w:t>s</w:t>
      </w:r>
      <w:r>
        <w:rPr>
          <w:sz w:val="24"/>
          <w:szCs w:val="24"/>
          <w:lang w:val="fr-CA"/>
        </w:rPr>
        <w:t xml:space="preserve"> en faveur du PL75 est</w:t>
      </w:r>
      <w:r w:rsidR="00DB328A">
        <w:rPr>
          <w:sz w:val="24"/>
          <w:szCs w:val="24"/>
          <w:lang w:val="fr-CA"/>
        </w:rPr>
        <w:t xml:space="preserve"> que ce dernier laisse beaucoup de place </w:t>
      </w:r>
      <w:r w:rsidR="00DB328A" w:rsidRPr="00DB328A">
        <w:rPr>
          <w:iCs/>
          <w:sz w:val="24"/>
          <w:szCs w:val="24"/>
          <w:lang w:val="fr-CA"/>
        </w:rPr>
        <w:t xml:space="preserve">à </w:t>
      </w:r>
      <w:r w:rsidR="00DB328A">
        <w:rPr>
          <w:sz w:val="24"/>
          <w:szCs w:val="24"/>
          <w:lang w:val="fr-CA"/>
        </w:rPr>
        <w:t xml:space="preserve">la négociation afin d'arriver </w:t>
      </w:r>
      <w:r w:rsidR="00DB328A" w:rsidRPr="00DB328A">
        <w:rPr>
          <w:iCs/>
          <w:sz w:val="24"/>
          <w:szCs w:val="24"/>
          <w:lang w:val="fr-CA"/>
        </w:rPr>
        <w:t xml:space="preserve">à </w:t>
      </w:r>
      <w:r w:rsidR="00DB328A">
        <w:rPr>
          <w:sz w:val="24"/>
          <w:szCs w:val="24"/>
          <w:lang w:val="fr-CA"/>
        </w:rPr>
        <w:t>une entente qui respecte l'équité intergénéra</w:t>
      </w:r>
      <w:r w:rsidR="0067033B">
        <w:rPr>
          <w:sz w:val="24"/>
          <w:szCs w:val="24"/>
          <w:lang w:val="fr-CA"/>
        </w:rPr>
        <w:t>tionnelle. Si cela s'avère vrai</w:t>
      </w:r>
      <w:r w:rsidR="00DB328A">
        <w:rPr>
          <w:sz w:val="24"/>
          <w:szCs w:val="24"/>
          <w:lang w:val="fr-CA"/>
        </w:rPr>
        <w:t xml:space="preserve"> pour la majorité des universités </w:t>
      </w:r>
      <w:r w:rsidR="009014BF">
        <w:rPr>
          <w:sz w:val="24"/>
          <w:szCs w:val="24"/>
          <w:lang w:val="fr-CA"/>
        </w:rPr>
        <w:t>touchées par le PL75, il en va</w:t>
      </w:r>
      <w:r w:rsidR="00DB328A">
        <w:rPr>
          <w:sz w:val="24"/>
          <w:szCs w:val="24"/>
          <w:lang w:val="fr-CA"/>
        </w:rPr>
        <w:t xml:space="preserve"> autrement pour les employés actifs de l'Univers</w:t>
      </w:r>
      <w:r w:rsidR="009014BF">
        <w:rPr>
          <w:sz w:val="24"/>
          <w:szCs w:val="24"/>
          <w:lang w:val="fr-CA"/>
        </w:rPr>
        <w:t xml:space="preserve">ité </w:t>
      </w:r>
      <w:proofErr w:type="spellStart"/>
      <w:r w:rsidR="009014BF">
        <w:rPr>
          <w:sz w:val="24"/>
          <w:szCs w:val="24"/>
          <w:lang w:val="fr-CA"/>
        </w:rPr>
        <w:t>Bishop's</w:t>
      </w:r>
      <w:proofErr w:type="spellEnd"/>
      <w:r w:rsidR="009014BF">
        <w:rPr>
          <w:sz w:val="24"/>
          <w:szCs w:val="24"/>
          <w:lang w:val="fr-CA"/>
        </w:rPr>
        <w:t>. Tel que mentionné</w:t>
      </w:r>
      <w:r w:rsidR="00DB328A">
        <w:rPr>
          <w:sz w:val="24"/>
          <w:szCs w:val="24"/>
          <w:lang w:val="fr-CA"/>
        </w:rPr>
        <w:t xml:space="preserve"> auparavant, notre rég</w:t>
      </w:r>
      <w:r w:rsidR="00953B4A">
        <w:rPr>
          <w:sz w:val="24"/>
          <w:szCs w:val="24"/>
          <w:lang w:val="fr-CA"/>
        </w:rPr>
        <w:t>im</w:t>
      </w:r>
      <w:r w:rsidR="00DB328A">
        <w:rPr>
          <w:sz w:val="24"/>
          <w:szCs w:val="24"/>
          <w:lang w:val="fr-CA"/>
        </w:rPr>
        <w:t xml:space="preserve">e n'offre pas d'indexation garantie de la </w:t>
      </w:r>
      <w:r w:rsidR="00953B4A">
        <w:rPr>
          <w:sz w:val="24"/>
          <w:szCs w:val="24"/>
          <w:lang w:val="fr-CA"/>
        </w:rPr>
        <w:t>rente aprè</w:t>
      </w:r>
      <w:r w:rsidR="009014BF">
        <w:rPr>
          <w:sz w:val="24"/>
          <w:szCs w:val="24"/>
          <w:lang w:val="fr-CA"/>
        </w:rPr>
        <w:t>s la retraite.</w:t>
      </w:r>
      <w:r w:rsidR="00953B4A">
        <w:rPr>
          <w:sz w:val="24"/>
          <w:szCs w:val="24"/>
          <w:lang w:val="fr-CA"/>
        </w:rPr>
        <w:t xml:space="preserve"> </w:t>
      </w:r>
      <w:r w:rsidR="00FE7E05">
        <w:rPr>
          <w:sz w:val="24"/>
          <w:szCs w:val="24"/>
          <w:lang w:val="fr-CA"/>
        </w:rPr>
        <w:t>Ainsi, l</w:t>
      </w:r>
      <w:r w:rsidR="00953B4A">
        <w:rPr>
          <w:sz w:val="24"/>
          <w:szCs w:val="24"/>
          <w:lang w:val="fr-CA"/>
        </w:rPr>
        <w:t xml:space="preserve">'application du PL75 </w:t>
      </w:r>
      <w:r w:rsidR="009014BF">
        <w:rPr>
          <w:sz w:val="24"/>
          <w:szCs w:val="24"/>
          <w:lang w:val="fr-CA"/>
        </w:rPr>
        <w:t xml:space="preserve">dans sa forme actuelle </w:t>
      </w:r>
      <w:r w:rsidR="00F95EBC">
        <w:rPr>
          <w:sz w:val="24"/>
          <w:szCs w:val="24"/>
          <w:lang w:val="fr-CA"/>
        </w:rPr>
        <w:t>aura</w:t>
      </w:r>
      <w:r w:rsidR="00953B4A">
        <w:rPr>
          <w:sz w:val="24"/>
          <w:szCs w:val="24"/>
          <w:lang w:val="fr-CA"/>
        </w:rPr>
        <w:t xml:space="preserve"> pour effet de faire porter un fardeau excessif aux employés actifs. </w:t>
      </w:r>
    </w:p>
    <w:p w:rsidR="00054EB1" w:rsidRPr="009058F4" w:rsidRDefault="00953B4A" w:rsidP="000B1D2B">
      <w:pPr>
        <w:spacing w:line="240" w:lineRule="auto"/>
        <w:jc w:val="both"/>
        <w:rPr>
          <w:sz w:val="24"/>
          <w:szCs w:val="24"/>
          <w:lang w:val="fr-CA"/>
        </w:rPr>
      </w:pPr>
      <w:r>
        <w:rPr>
          <w:sz w:val="24"/>
          <w:szCs w:val="24"/>
          <w:lang w:val="fr-CA"/>
        </w:rPr>
        <w:t>Tout en apportant s</w:t>
      </w:r>
      <w:r w:rsidR="009014BF">
        <w:rPr>
          <w:sz w:val="24"/>
          <w:szCs w:val="24"/>
          <w:lang w:val="fr-CA"/>
        </w:rPr>
        <w:t>on soutien</w:t>
      </w:r>
      <w:r>
        <w:rPr>
          <w:sz w:val="24"/>
          <w:szCs w:val="24"/>
          <w:lang w:val="fr-CA"/>
        </w:rPr>
        <w:t xml:space="preserve"> aux objectifs du PL75, l'APBU </w:t>
      </w:r>
      <w:r w:rsidR="0084724C">
        <w:rPr>
          <w:sz w:val="24"/>
          <w:szCs w:val="24"/>
          <w:lang w:val="fr-CA"/>
        </w:rPr>
        <w:t xml:space="preserve">estime primordiale l'introduction de </w:t>
      </w:r>
      <w:r>
        <w:rPr>
          <w:sz w:val="24"/>
          <w:szCs w:val="24"/>
          <w:lang w:val="fr-CA"/>
        </w:rPr>
        <w:t xml:space="preserve">certains </w:t>
      </w:r>
      <w:r w:rsidR="000B1D2B">
        <w:rPr>
          <w:sz w:val="24"/>
          <w:szCs w:val="24"/>
          <w:lang w:val="fr-CA"/>
        </w:rPr>
        <w:t xml:space="preserve">aménagements </w:t>
      </w:r>
      <w:r>
        <w:rPr>
          <w:sz w:val="24"/>
          <w:szCs w:val="24"/>
          <w:lang w:val="fr-CA"/>
        </w:rPr>
        <w:t>au projet de loi afin d</w:t>
      </w:r>
      <w:r w:rsidR="0067033B">
        <w:rPr>
          <w:sz w:val="24"/>
          <w:szCs w:val="24"/>
          <w:lang w:val="fr-CA"/>
        </w:rPr>
        <w:t>e favoriser l'atteinte de ces objec</w:t>
      </w:r>
      <w:r w:rsidR="003E4E53">
        <w:rPr>
          <w:sz w:val="24"/>
          <w:szCs w:val="24"/>
          <w:lang w:val="fr-CA"/>
        </w:rPr>
        <w:t>tifs-</w:t>
      </w:r>
      <w:r w:rsidR="00FE7E05">
        <w:rPr>
          <w:sz w:val="24"/>
          <w:szCs w:val="24"/>
          <w:lang w:val="fr-CA"/>
        </w:rPr>
        <w:t xml:space="preserve">là </w:t>
      </w:r>
      <w:r w:rsidR="0067033B">
        <w:rPr>
          <w:sz w:val="24"/>
          <w:szCs w:val="24"/>
          <w:lang w:val="fr-CA"/>
        </w:rPr>
        <w:t xml:space="preserve">pour </w:t>
      </w:r>
      <w:r w:rsidR="003E4E53">
        <w:rPr>
          <w:sz w:val="24"/>
          <w:szCs w:val="24"/>
          <w:lang w:val="fr-CA"/>
        </w:rPr>
        <w:t>l'ensemble des universités concern</w:t>
      </w:r>
      <w:r w:rsidR="0067033B">
        <w:rPr>
          <w:sz w:val="24"/>
          <w:szCs w:val="24"/>
          <w:lang w:val="fr-CA"/>
        </w:rPr>
        <w:t>é</w:t>
      </w:r>
      <w:r w:rsidR="009014BF">
        <w:rPr>
          <w:sz w:val="24"/>
          <w:szCs w:val="24"/>
          <w:lang w:val="fr-CA"/>
        </w:rPr>
        <w:t>e</w:t>
      </w:r>
      <w:r w:rsidR="0067033B">
        <w:rPr>
          <w:sz w:val="24"/>
          <w:szCs w:val="24"/>
          <w:lang w:val="fr-CA"/>
        </w:rPr>
        <w:t>s par le PL75.</w:t>
      </w:r>
      <w:r w:rsidR="00E55958" w:rsidRPr="00BD2182">
        <w:rPr>
          <w:sz w:val="24"/>
          <w:szCs w:val="24"/>
          <w:lang w:val="fr-CA"/>
        </w:rPr>
        <w:t xml:space="preserve"> </w:t>
      </w:r>
      <w:r w:rsidR="0084724C">
        <w:rPr>
          <w:sz w:val="24"/>
          <w:szCs w:val="24"/>
          <w:lang w:val="fr-CA"/>
        </w:rPr>
        <w:t>D</w:t>
      </w:r>
      <w:r w:rsidR="0067033B">
        <w:rPr>
          <w:sz w:val="24"/>
          <w:szCs w:val="24"/>
          <w:lang w:val="fr-CA"/>
        </w:rPr>
        <w:t xml:space="preserve">es propositions </w:t>
      </w:r>
      <w:r w:rsidR="000B1D2B">
        <w:rPr>
          <w:sz w:val="24"/>
          <w:szCs w:val="24"/>
          <w:lang w:val="fr-CA"/>
        </w:rPr>
        <w:t xml:space="preserve">d'aménagement </w:t>
      </w:r>
      <w:r w:rsidR="0067033B">
        <w:rPr>
          <w:sz w:val="24"/>
          <w:szCs w:val="24"/>
          <w:lang w:val="fr-CA"/>
        </w:rPr>
        <w:t>seront discutées plus en détails dans les sections suivantes.</w:t>
      </w:r>
    </w:p>
    <w:p w:rsidR="00054EB1" w:rsidRPr="00BD7DEA" w:rsidRDefault="00054EB1" w:rsidP="000B1D2B">
      <w:pPr>
        <w:spacing w:line="240" w:lineRule="auto"/>
        <w:rPr>
          <w:b/>
          <w:sz w:val="28"/>
          <w:szCs w:val="28"/>
          <w:lang w:val="fr-CA"/>
        </w:rPr>
      </w:pPr>
      <w:r>
        <w:rPr>
          <w:b/>
          <w:sz w:val="24"/>
          <w:szCs w:val="24"/>
          <w:lang w:val="fr-CA"/>
        </w:rPr>
        <w:br w:type="page"/>
      </w:r>
      <w:r w:rsidR="0067033B" w:rsidRPr="00BD7DEA">
        <w:rPr>
          <w:b/>
          <w:sz w:val="28"/>
          <w:szCs w:val="28"/>
          <w:lang w:val="fr-CA"/>
        </w:rPr>
        <w:lastRenderedPageBreak/>
        <w:t xml:space="preserve">2) </w:t>
      </w:r>
      <w:r w:rsidR="002F451C" w:rsidRPr="00BD7DEA">
        <w:rPr>
          <w:b/>
          <w:sz w:val="28"/>
          <w:szCs w:val="28"/>
          <w:lang w:val="fr-CA"/>
        </w:rPr>
        <w:t>Q</w:t>
      </w:r>
      <w:r w:rsidRPr="00BD7DEA">
        <w:rPr>
          <w:b/>
          <w:sz w:val="28"/>
          <w:szCs w:val="28"/>
          <w:lang w:val="fr-CA"/>
        </w:rPr>
        <w:t>uelques faits saillant</w:t>
      </w:r>
      <w:r w:rsidR="00BD7DEA">
        <w:rPr>
          <w:b/>
          <w:sz w:val="28"/>
          <w:szCs w:val="28"/>
          <w:lang w:val="fr-CA"/>
        </w:rPr>
        <w:t>s</w:t>
      </w:r>
    </w:p>
    <w:tbl>
      <w:tblPr>
        <w:tblStyle w:val="Ombrageclair1"/>
        <w:tblW w:w="0" w:type="auto"/>
        <w:tblLook w:val="04A0" w:firstRow="1" w:lastRow="0" w:firstColumn="1" w:lastColumn="0" w:noHBand="0" w:noVBand="1"/>
      </w:tblPr>
      <w:tblGrid>
        <w:gridCol w:w="7488"/>
        <w:gridCol w:w="2088"/>
      </w:tblGrid>
      <w:tr w:rsidR="00054EB1" w:rsidTr="00054E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tcPr>
          <w:p w:rsidR="00054EB1" w:rsidRPr="00D71FCD" w:rsidRDefault="00054EB1" w:rsidP="000B1D2B">
            <w:pPr>
              <w:rPr>
                <w:sz w:val="24"/>
                <w:szCs w:val="24"/>
                <w:lang w:val="fr-CA"/>
              </w:rPr>
            </w:pPr>
            <w:r w:rsidRPr="00D71FCD">
              <w:rPr>
                <w:sz w:val="24"/>
                <w:szCs w:val="24"/>
                <w:lang w:val="fr-CA"/>
              </w:rPr>
              <w:t xml:space="preserve">Résultats au 30 Juin 2014 </w:t>
            </w:r>
          </w:p>
        </w:tc>
        <w:tc>
          <w:tcPr>
            <w:tcW w:w="2088" w:type="dxa"/>
          </w:tcPr>
          <w:p w:rsidR="00054EB1" w:rsidRDefault="00054EB1" w:rsidP="000B1D2B">
            <w:pPr>
              <w:jc w:val="right"/>
              <w:cnfStyle w:val="100000000000" w:firstRow="1" w:lastRow="0" w:firstColumn="0" w:lastColumn="0" w:oddVBand="0" w:evenVBand="0" w:oddHBand="0" w:evenHBand="0" w:firstRowFirstColumn="0" w:firstRowLastColumn="0" w:lastRowFirstColumn="0" w:lastRowLastColumn="0"/>
              <w:rPr>
                <w:b w:val="0"/>
                <w:sz w:val="24"/>
                <w:szCs w:val="24"/>
                <w:lang w:val="fr-CA"/>
              </w:rPr>
            </w:pPr>
          </w:p>
        </w:tc>
      </w:tr>
      <w:tr w:rsidR="00054EB1" w:rsidTr="0005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tcPr>
          <w:p w:rsidR="00054EB1" w:rsidRDefault="00054EB1" w:rsidP="000B1D2B">
            <w:pPr>
              <w:rPr>
                <w:b w:val="0"/>
                <w:sz w:val="24"/>
                <w:szCs w:val="24"/>
                <w:lang w:val="fr-CA"/>
              </w:rPr>
            </w:pPr>
          </w:p>
        </w:tc>
        <w:tc>
          <w:tcPr>
            <w:tcW w:w="2088" w:type="dxa"/>
          </w:tcPr>
          <w:p w:rsidR="00054EB1" w:rsidRDefault="00054EB1" w:rsidP="000B1D2B">
            <w:pPr>
              <w:jc w:val="right"/>
              <w:cnfStyle w:val="000000100000" w:firstRow="0" w:lastRow="0" w:firstColumn="0" w:lastColumn="0" w:oddVBand="0" w:evenVBand="0" w:oddHBand="1" w:evenHBand="0" w:firstRowFirstColumn="0" w:firstRowLastColumn="0" w:lastRowFirstColumn="0" w:lastRowLastColumn="0"/>
              <w:rPr>
                <w:b/>
                <w:sz w:val="24"/>
                <w:szCs w:val="24"/>
                <w:lang w:val="fr-CA"/>
              </w:rPr>
            </w:pPr>
          </w:p>
        </w:tc>
      </w:tr>
      <w:tr w:rsidR="00054EB1" w:rsidTr="00054EB1">
        <w:tc>
          <w:tcPr>
            <w:cnfStyle w:val="001000000000" w:firstRow="0" w:lastRow="0" w:firstColumn="1" w:lastColumn="0" w:oddVBand="0" w:evenVBand="0" w:oddHBand="0" w:evenHBand="0" w:firstRowFirstColumn="0" w:firstRowLastColumn="0" w:lastRowFirstColumn="0" w:lastRowLastColumn="0"/>
            <w:tcW w:w="7488" w:type="dxa"/>
          </w:tcPr>
          <w:p w:rsidR="00054EB1" w:rsidRPr="00054EB1" w:rsidRDefault="00054EB1" w:rsidP="000B1D2B">
            <w:pPr>
              <w:rPr>
                <w:sz w:val="24"/>
                <w:szCs w:val="24"/>
                <w:lang w:val="fr-CA"/>
              </w:rPr>
            </w:pPr>
            <w:r w:rsidRPr="00054EB1">
              <w:rPr>
                <w:sz w:val="24"/>
                <w:szCs w:val="24"/>
                <w:lang w:val="fr-CA"/>
              </w:rPr>
              <w:t>Actif</w:t>
            </w:r>
          </w:p>
        </w:tc>
        <w:tc>
          <w:tcPr>
            <w:tcW w:w="2088" w:type="dxa"/>
          </w:tcPr>
          <w:p w:rsidR="00054EB1" w:rsidRDefault="00054EB1" w:rsidP="000B1D2B">
            <w:pPr>
              <w:jc w:val="right"/>
              <w:cnfStyle w:val="000000000000" w:firstRow="0" w:lastRow="0" w:firstColumn="0" w:lastColumn="0" w:oddVBand="0" w:evenVBand="0" w:oddHBand="0" w:evenHBand="0" w:firstRowFirstColumn="0" w:firstRowLastColumn="0" w:lastRowFirstColumn="0" w:lastRowLastColumn="0"/>
              <w:rPr>
                <w:b/>
                <w:sz w:val="24"/>
                <w:szCs w:val="24"/>
                <w:lang w:val="fr-CA"/>
              </w:rPr>
            </w:pPr>
            <w:r>
              <w:rPr>
                <w:b/>
                <w:sz w:val="24"/>
                <w:szCs w:val="24"/>
                <w:lang w:val="fr-CA"/>
              </w:rPr>
              <w:t>113</w:t>
            </w:r>
            <w:proofErr w:type="gramStart"/>
            <w:r>
              <w:rPr>
                <w:b/>
                <w:sz w:val="24"/>
                <w:szCs w:val="24"/>
                <w:lang w:val="fr-CA"/>
              </w:rPr>
              <w:t>,516,000</w:t>
            </w:r>
            <w:proofErr w:type="gramEnd"/>
          </w:p>
        </w:tc>
      </w:tr>
      <w:tr w:rsidR="00054EB1" w:rsidTr="0005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tcPr>
          <w:p w:rsidR="00054EB1" w:rsidRDefault="00054EB1" w:rsidP="000B1D2B">
            <w:pPr>
              <w:rPr>
                <w:b w:val="0"/>
                <w:sz w:val="24"/>
                <w:szCs w:val="24"/>
                <w:lang w:val="fr-CA"/>
              </w:rPr>
            </w:pPr>
          </w:p>
        </w:tc>
        <w:tc>
          <w:tcPr>
            <w:tcW w:w="2088" w:type="dxa"/>
          </w:tcPr>
          <w:p w:rsidR="00054EB1" w:rsidRDefault="00054EB1" w:rsidP="000B1D2B">
            <w:pPr>
              <w:jc w:val="right"/>
              <w:cnfStyle w:val="000000100000" w:firstRow="0" w:lastRow="0" w:firstColumn="0" w:lastColumn="0" w:oddVBand="0" w:evenVBand="0" w:oddHBand="1" w:evenHBand="0" w:firstRowFirstColumn="0" w:firstRowLastColumn="0" w:lastRowFirstColumn="0" w:lastRowLastColumn="0"/>
              <w:rPr>
                <w:b/>
                <w:sz w:val="24"/>
                <w:szCs w:val="24"/>
                <w:lang w:val="fr-CA"/>
              </w:rPr>
            </w:pPr>
          </w:p>
        </w:tc>
      </w:tr>
      <w:tr w:rsidR="00054EB1" w:rsidTr="00054EB1">
        <w:tc>
          <w:tcPr>
            <w:cnfStyle w:val="001000000000" w:firstRow="0" w:lastRow="0" w:firstColumn="1" w:lastColumn="0" w:oddVBand="0" w:evenVBand="0" w:oddHBand="0" w:evenHBand="0" w:firstRowFirstColumn="0" w:firstRowLastColumn="0" w:lastRowFirstColumn="0" w:lastRowLastColumn="0"/>
            <w:tcW w:w="7488" w:type="dxa"/>
          </w:tcPr>
          <w:p w:rsidR="00054EB1" w:rsidRPr="00054EB1" w:rsidRDefault="00054EB1" w:rsidP="000B1D2B">
            <w:pPr>
              <w:rPr>
                <w:sz w:val="24"/>
                <w:szCs w:val="24"/>
                <w:lang w:val="fr-CA"/>
              </w:rPr>
            </w:pPr>
            <w:r w:rsidRPr="00054EB1">
              <w:rPr>
                <w:sz w:val="24"/>
                <w:szCs w:val="24"/>
                <w:lang w:val="fr-CA"/>
              </w:rPr>
              <w:t>Passifs</w:t>
            </w:r>
          </w:p>
        </w:tc>
        <w:tc>
          <w:tcPr>
            <w:tcW w:w="2088" w:type="dxa"/>
          </w:tcPr>
          <w:p w:rsidR="00054EB1" w:rsidRDefault="00054EB1" w:rsidP="000B1D2B">
            <w:pPr>
              <w:jc w:val="right"/>
              <w:cnfStyle w:val="000000000000" w:firstRow="0" w:lastRow="0" w:firstColumn="0" w:lastColumn="0" w:oddVBand="0" w:evenVBand="0" w:oddHBand="0" w:evenHBand="0" w:firstRowFirstColumn="0" w:firstRowLastColumn="0" w:lastRowFirstColumn="0" w:lastRowLastColumn="0"/>
              <w:rPr>
                <w:b/>
                <w:sz w:val="24"/>
                <w:szCs w:val="24"/>
                <w:lang w:val="fr-CA"/>
              </w:rPr>
            </w:pPr>
          </w:p>
        </w:tc>
      </w:tr>
      <w:tr w:rsidR="00054EB1" w:rsidTr="0005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tcPr>
          <w:p w:rsidR="00054EB1" w:rsidRDefault="00054EB1" w:rsidP="000B1D2B">
            <w:pPr>
              <w:ind w:left="720"/>
              <w:rPr>
                <w:b w:val="0"/>
                <w:sz w:val="24"/>
                <w:szCs w:val="24"/>
                <w:lang w:val="fr-CA"/>
              </w:rPr>
            </w:pPr>
            <w:r>
              <w:rPr>
                <w:b w:val="0"/>
                <w:sz w:val="24"/>
                <w:szCs w:val="24"/>
                <w:lang w:val="fr-CA"/>
              </w:rPr>
              <w:t>Retraités</w:t>
            </w:r>
          </w:p>
        </w:tc>
        <w:tc>
          <w:tcPr>
            <w:tcW w:w="2088" w:type="dxa"/>
          </w:tcPr>
          <w:p w:rsidR="00054EB1" w:rsidRDefault="00054EB1" w:rsidP="000B1D2B">
            <w:pPr>
              <w:jc w:val="right"/>
              <w:cnfStyle w:val="000000100000" w:firstRow="0" w:lastRow="0" w:firstColumn="0" w:lastColumn="0" w:oddVBand="0" w:evenVBand="0" w:oddHBand="1" w:evenHBand="0" w:firstRowFirstColumn="0" w:firstRowLastColumn="0" w:lastRowFirstColumn="0" w:lastRowLastColumn="0"/>
              <w:rPr>
                <w:b/>
                <w:sz w:val="24"/>
                <w:szCs w:val="24"/>
                <w:lang w:val="fr-CA"/>
              </w:rPr>
            </w:pPr>
            <w:r>
              <w:rPr>
                <w:b/>
                <w:sz w:val="24"/>
                <w:szCs w:val="24"/>
                <w:lang w:val="fr-CA"/>
              </w:rPr>
              <w:t>80</w:t>
            </w:r>
            <w:proofErr w:type="gramStart"/>
            <w:r>
              <w:rPr>
                <w:b/>
                <w:sz w:val="24"/>
                <w:szCs w:val="24"/>
                <w:lang w:val="fr-CA"/>
              </w:rPr>
              <w:t>,990,000</w:t>
            </w:r>
            <w:proofErr w:type="gramEnd"/>
          </w:p>
        </w:tc>
      </w:tr>
      <w:tr w:rsidR="00054EB1" w:rsidTr="00054EB1">
        <w:tc>
          <w:tcPr>
            <w:cnfStyle w:val="001000000000" w:firstRow="0" w:lastRow="0" w:firstColumn="1" w:lastColumn="0" w:oddVBand="0" w:evenVBand="0" w:oddHBand="0" w:evenHBand="0" w:firstRowFirstColumn="0" w:firstRowLastColumn="0" w:lastRowFirstColumn="0" w:lastRowLastColumn="0"/>
            <w:tcW w:w="7488" w:type="dxa"/>
          </w:tcPr>
          <w:p w:rsidR="00054EB1" w:rsidRDefault="00530159" w:rsidP="000B1D2B">
            <w:pPr>
              <w:ind w:left="720"/>
              <w:rPr>
                <w:b w:val="0"/>
                <w:sz w:val="24"/>
                <w:szCs w:val="24"/>
                <w:lang w:val="fr-CA"/>
              </w:rPr>
            </w:pPr>
            <w:r>
              <w:rPr>
                <w:b w:val="0"/>
                <w:sz w:val="24"/>
                <w:szCs w:val="24"/>
                <w:lang w:val="fr-CA"/>
              </w:rPr>
              <w:t>Participants</w:t>
            </w:r>
            <w:r w:rsidR="00054EB1">
              <w:rPr>
                <w:b w:val="0"/>
                <w:sz w:val="24"/>
                <w:szCs w:val="24"/>
                <w:lang w:val="fr-CA"/>
              </w:rPr>
              <w:t xml:space="preserve"> actifs</w:t>
            </w:r>
          </w:p>
        </w:tc>
        <w:tc>
          <w:tcPr>
            <w:tcW w:w="2088" w:type="dxa"/>
          </w:tcPr>
          <w:p w:rsidR="00054EB1" w:rsidRDefault="00054EB1" w:rsidP="000B1D2B">
            <w:pPr>
              <w:jc w:val="right"/>
              <w:cnfStyle w:val="000000000000" w:firstRow="0" w:lastRow="0" w:firstColumn="0" w:lastColumn="0" w:oddVBand="0" w:evenVBand="0" w:oddHBand="0" w:evenHBand="0" w:firstRowFirstColumn="0" w:firstRowLastColumn="0" w:lastRowFirstColumn="0" w:lastRowLastColumn="0"/>
              <w:rPr>
                <w:b/>
                <w:sz w:val="24"/>
                <w:szCs w:val="24"/>
                <w:lang w:val="fr-CA"/>
              </w:rPr>
            </w:pPr>
            <w:r>
              <w:rPr>
                <w:b/>
                <w:sz w:val="24"/>
                <w:szCs w:val="24"/>
                <w:lang w:val="fr-CA"/>
              </w:rPr>
              <w:t>56</w:t>
            </w:r>
            <w:proofErr w:type="gramStart"/>
            <w:r>
              <w:rPr>
                <w:b/>
                <w:sz w:val="24"/>
                <w:szCs w:val="24"/>
                <w:lang w:val="fr-CA"/>
              </w:rPr>
              <w:t>,773,000</w:t>
            </w:r>
            <w:proofErr w:type="gramEnd"/>
          </w:p>
        </w:tc>
      </w:tr>
      <w:tr w:rsidR="00054EB1" w:rsidTr="0005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tcPr>
          <w:p w:rsidR="00054EB1" w:rsidRDefault="00054EB1" w:rsidP="000B1D2B">
            <w:pPr>
              <w:ind w:left="720"/>
              <w:rPr>
                <w:b w:val="0"/>
                <w:sz w:val="24"/>
                <w:szCs w:val="24"/>
                <w:lang w:val="fr-CA"/>
              </w:rPr>
            </w:pPr>
            <w:r>
              <w:rPr>
                <w:b w:val="0"/>
                <w:sz w:val="24"/>
                <w:szCs w:val="24"/>
                <w:lang w:val="fr-CA"/>
              </w:rPr>
              <w:t>Autres</w:t>
            </w:r>
          </w:p>
        </w:tc>
        <w:tc>
          <w:tcPr>
            <w:tcW w:w="2088" w:type="dxa"/>
          </w:tcPr>
          <w:p w:rsidR="00054EB1" w:rsidRDefault="00054EB1" w:rsidP="000B1D2B">
            <w:pPr>
              <w:jc w:val="right"/>
              <w:cnfStyle w:val="000000100000" w:firstRow="0" w:lastRow="0" w:firstColumn="0" w:lastColumn="0" w:oddVBand="0" w:evenVBand="0" w:oddHBand="1" w:evenHBand="0" w:firstRowFirstColumn="0" w:firstRowLastColumn="0" w:lastRowFirstColumn="0" w:lastRowLastColumn="0"/>
              <w:rPr>
                <w:b/>
                <w:sz w:val="24"/>
                <w:szCs w:val="24"/>
                <w:lang w:val="fr-CA"/>
              </w:rPr>
            </w:pPr>
            <w:r>
              <w:rPr>
                <w:b/>
                <w:sz w:val="24"/>
                <w:szCs w:val="24"/>
                <w:lang w:val="fr-CA"/>
              </w:rPr>
              <w:t>244,000</w:t>
            </w:r>
          </w:p>
        </w:tc>
      </w:tr>
      <w:tr w:rsidR="00054EB1" w:rsidRPr="00D71FCD" w:rsidTr="00054EB1">
        <w:tc>
          <w:tcPr>
            <w:cnfStyle w:val="001000000000" w:firstRow="0" w:lastRow="0" w:firstColumn="1" w:lastColumn="0" w:oddVBand="0" w:evenVBand="0" w:oddHBand="0" w:evenHBand="0" w:firstRowFirstColumn="0" w:firstRowLastColumn="0" w:lastRowFirstColumn="0" w:lastRowLastColumn="0"/>
            <w:tcW w:w="7488" w:type="dxa"/>
          </w:tcPr>
          <w:p w:rsidR="00054EB1" w:rsidRPr="00D71FCD" w:rsidRDefault="00054EB1" w:rsidP="000B1D2B">
            <w:pPr>
              <w:rPr>
                <w:sz w:val="24"/>
                <w:szCs w:val="24"/>
                <w:lang w:val="fr-CA"/>
              </w:rPr>
            </w:pPr>
            <w:r w:rsidRPr="00D71FCD">
              <w:rPr>
                <w:sz w:val="24"/>
                <w:szCs w:val="24"/>
                <w:lang w:val="fr-CA"/>
              </w:rPr>
              <w:t>Total</w:t>
            </w:r>
            <w:r w:rsidR="003E4E53">
              <w:rPr>
                <w:sz w:val="24"/>
                <w:szCs w:val="24"/>
                <w:lang w:val="fr-CA"/>
              </w:rPr>
              <w:t xml:space="preserve"> </w:t>
            </w:r>
            <w:proofErr w:type="gramStart"/>
            <w:r w:rsidR="003E4E53">
              <w:rPr>
                <w:sz w:val="24"/>
                <w:szCs w:val="24"/>
                <w:lang w:val="fr-CA"/>
              </w:rPr>
              <w:t>du</w:t>
            </w:r>
            <w:r w:rsidRPr="00D71FCD">
              <w:rPr>
                <w:sz w:val="24"/>
                <w:szCs w:val="24"/>
                <w:lang w:val="fr-CA"/>
              </w:rPr>
              <w:t xml:space="preserve"> passifs</w:t>
            </w:r>
            <w:proofErr w:type="gramEnd"/>
          </w:p>
        </w:tc>
        <w:tc>
          <w:tcPr>
            <w:tcW w:w="2088" w:type="dxa"/>
          </w:tcPr>
          <w:p w:rsidR="00054EB1" w:rsidRPr="00D71FCD" w:rsidRDefault="00D71FCD" w:rsidP="000B1D2B">
            <w:pPr>
              <w:jc w:val="right"/>
              <w:cnfStyle w:val="000000000000" w:firstRow="0" w:lastRow="0" w:firstColumn="0" w:lastColumn="0" w:oddVBand="0" w:evenVBand="0" w:oddHBand="0" w:evenHBand="0" w:firstRowFirstColumn="0" w:firstRowLastColumn="0" w:lastRowFirstColumn="0" w:lastRowLastColumn="0"/>
              <w:rPr>
                <w:b/>
                <w:sz w:val="24"/>
                <w:szCs w:val="24"/>
                <w:lang w:val="fr-CA"/>
              </w:rPr>
            </w:pPr>
            <w:r>
              <w:rPr>
                <w:b/>
                <w:sz w:val="24"/>
                <w:szCs w:val="24"/>
                <w:lang w:val="fr-CA"/>
              </w:rPr>
              <w:t>138</w:t>
            </w:r>
            <w:proofErr w:type="gramStart"/>
            <w:r>
              <w:rPr>
                <w:b/>
                <w:sz w:val="24"/>
                <w:szCs w:val="24"/>
                <w:lang w:val="fr-CA"/>
              </w:rPr>
              <w:t>,007,000</w:t>
            </w:r>
            <w:proofErr w:type="gramEnd"/>
          </w:p>
        </w:tc>
      </w:tr>
      <w:tr w:rsidR="00D71FCD" w:rsidTr="00054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8" w:type="dxa"/>
          </w:tcPr>
          <w:p w:rsidR="00D71FCD" w:rsidRDefault="00D71FCD" w:rsidP="000B1D2B">
            <w:pPr>
              <w:rPr>
                <w:b w:val="0"/>
                <w:sz w:val="24"/>
                <w:szCs w:val="24"/>
                <w:lang w:val="fr-CA"/>
              </w:rPr>
            </w:pPr>
          </w:p>
        </w:tc>
        <w:tc>
          <w:tcPr>
            <w:tcW w:w="2088" w:type="dxa"/>
          </w:tcPr>
          <w:p w:rsidR="00D71FCD" w:rsidRDefault="00D71FCD" w:rsidP="000B1D2B">
            <w:pPr>
              <w:jc w:val="right"/>
              <w:cnfStyle w:val="000000100000" w:firstRow="0" w:lastRow="0" w:firstColumn="0" w:lastColumn="0" w:oddVBand="0" w:evenVBand="0" w:oddHBand="1" w:evenHBand="0" w:firstRowFirstColumn="0" w:firstRowLastColumn="0" w:lastRowFirstColumn="0" w:lastRowLastColumn="0"/>
              <w:rPr>
                <w:b/>
                <w:sz w:val="24"/>
                <w:szCs w:val="24"/>
                <w:lang w:val="fr-CA"/>
              </w:rPr>
            </w:pPr>
          </w:p>
        </w:tc>
      </w:tr>
      <w:tr w:rsidR="00D71FCD" w:rsidRPr="00D71FCD" w:rsidTr="00054EB1">
        <w:tc>
          <w:tcPr>
            <w:cnfStyle w:val="001000000000" w:firstRow="0" w:lastRow="0" w:firstColumn="1" w:lastColumn="0" w:oddVBand="0" w:evenVBand="0" w:oddHBand="0" w:evenHBand="0" w:firstRowFirstColumn="0" w:firstRowLastColumn="0" w:lastRowFirstColumn="0" w:lastRowLastColumn="0"/>
            <w:tcW w:w="7488" w:type="dxa"/>
          </w:tcPr>
          <w:p w:rsidR="00D71FCD" w:rsidRPr="00D71FCD" w:rsidRDefault="00D71FCD" w:rsidP="000B1D2B">
            <w:pPr>
              <w:rPr>
                <w:sz w:val="24"/>
                <w:szCs w:val="24"/>
                <w:lang w:val="fr-CA"/>
              </w:rPr>
            </w:pPr>
            <w:r w:rsidRPr="00D71FCD">
              <w:rPr>
                <w:sz w:val="24"/>
                <w:szCs w:val="24"/>
                <w:lang w:val="fr-CA"/>
              </w:rPr>
              <w:t>Surplus(Déficit)</w:t>
            </w:r>
          </w:p>
        </w:tc>
        <w:tc>
          <w:tcPr>
            <w:tcW w:w="2088" w:type="dxa"/>
          </w:tcPr>
          <w:p w:rsidR="00D71FCD" w:rsidRPr="00D71FCD" w:rsidRDefault="00D71FCD" w:rsidP="000B1D2B">
            <w:pPr>
              <w:jc w:val="right"/>
              <w:cnfStyle w:val="000000000000" w:firstRow="0" w:lastRow="0" w:firstColumn="0" w:lastColumn="0" w:oddVBand="0" w:evenVBand="0" w:oddHBand="0" w:evenHBand="0" w:firstRowFirstColumn="0" w:firstRowLastColumn="0" w:lastRowFirstColumn="0" w:lastRowLastColumn="0"/>
              <w:rPr>
                <w:b/>
                <w:sz w:val="24"/>
                <w:szCs w:val="24"/>
                <w:lang w:val="fr-CA"/>
              </w:rPr>
            </w:pPr>
            <w:r w:rsidRPr="00D71FCD">
              <w:rPr>
                <w:b/>
                <w:sz w:val="24"/>
                <w:szCs w:val="24"/>
                <w:lang w:val="fr-CA"/>
              </w:rPr>
              <w:t>(24</w:t>
            </w:r>
            <w:proofErr w:type="gramStart"/>
            <w:r w:rsidRPr="00D71FCD">
              <w:rPr>
                <w:b/>
                <w:sz w:val="24"/>
                <w:szCs w:val="24"/>
                <w:lang w:val="fr-CA"/>
              </w:rPr>
              <w:t>,491,000</w:t>
            </w:r>
            <w:proofErr w:type="gramEnd"/>
            <w:r w:rsidRPr="00D71FCD">
              <w:rPr>
                <w:b/>
                <w:sz w:val="24"/>
                <w:szCs w:val="24"/>
                <w:lang w:val="fr-CA"/>
              </w:rPr>
              <w:t>)</w:t>
            </w:r>
          </w:p>
        </w:tc>
      </w:tr>
    </w:tbl>
    <w:p w:rsidR="00BF1F83" w:rsidRDefault="00BF1F83" w:rsidP="000B1D2B">
      <w:pPr>
        <w:spacing w:line="240" w:lineRule="auto"/>
        <w:rPr>
          <w:b/>
          <w:sz w:val="24"/>
          <w:szCs w:val="24"/>
          <w:lang w:val="fr-CA"/>
        </w:rPr>
      </w:pPr>
    </w:p>
    <w:p w:rsidR="00BD7DEA" w:rsidRPr="00BD7DEA" w:rsidRDefault="00BD7DEA" w:rsidP="000B1D2B">
      <w:pPr>
        <w:spacing w:line="240" w:lineRule="auto"/>
        <w:rPr>
          <w:b/>
          <w:sz w:val="28"/>
          <w:szCs w:val="24"/>
          <w:lang w:val="fr-CA"/>
        </w:rPr>
      </w:pPr>
      <w:r w:rsidRPr="00BD7DEA">
        <w:rPr>
          <w:b/>
          <w:sz w:val="28"/>
          <w:szCs w:val="24"/>
          <w:lang w:val="fr-CA"/>
        </w:rPr>
        <w:t>3) Propositions d’aménagements</w:t>
      </w:r>
    </w:p>
    <w:p w:rsidR="00BF1F83" w:rsidRDefault="009014BF" w:rsidP="00BD7DEA">
      <w:pPr>
        <w:spacing w:line="240" w:lineRule="auto"/>
        <w:ind w:left="720"/>
        <w:rPr>
          <w:b/>
          <w:sz w:val="24"/>
          <w:szCs w:val="24"/>
          <w:lang w:val="fr-CA"/>
        </w:rPr>
      </w:pPr>
      <w:r>
        <w:rPr>
          <w:b/>
          <w:sz w:val="24"/>
          <w:szCs w:val="24"/>
          <w:lang w:val="fr-CA"/>
        </w:rPr>
        <w:t>3</w:t>
      </w:r>
      <w:r w:rsidR="00BD7DEA">
        <w:rPr>
          <w:b/>
          <w:sz w:val="24"/>
          <w:szCs w:val="24"/>
          <w:lang w:val="fr-CA"/>
        </w:rPr>
        <w:t>.1</w:t>
      </w:r>
      <w:r w:rsidR="00BF1F83">
        <w:rPr>
          <w:b/>
          <w:sz w:val="24"/>
          <w:szCs w:val="24"/>
          <w:lang w:val="fr-CA"/>
        </w:rPr>
        <w:t>) Effort</w:t>
      </w:r>
      <w:r w:rsidR="00563E76">
        <w:rPr>
          <w:b/>
          <w:sz w:val="24"/>
          <w:szCs w:val="24"/>
          <w:lang w:val="fr-CA"/>
        </w:rPr>
        <w:t>s</w:t>
      </w:r>
      <w:r w:rsidR="00BF1F83">
        <w:rPr>
          <w:b/>
          <w:sz w:val="24"/>
          <w:szCs w:val="24"/>
          <w:lang w:val="fr-CA"/>
        </w:rPr>
        <w:t xml:space="preserve"> de restructuration </w:t>
      </w:r>
      <w:r w:rsidR="00563E76">
        <w:rPr>
          <w:b/>
          <w:sz w:val="24"/>
          <w:szCs w:val="24"/>
          <w:lang w:val="fr-CA"/>
        </w:rPr>
        <w:t>demandé</w:t>
      </w:r>
      <w:r w:rsidR="008130A0">
        <w:rPr>
          <w:b/>
          <w:sz w:val="24"/>
          <w:szCs w:val="24"/>
          <w:lang w:val="fr-CA"/>
        </w:rPr>
        <w:t>s aux employé</w:t>
      </w:r>
      <w:r w:rsidR="00BF1F83">
        <w:rPr>
          <w:b/>
          <w:sz w:val="24"/>
          <w:szCs w:val="24"/>
          <w:lang w:val="fr-CA"/>
        </w:rPr>
        <w:t xml:space="preserve">s et </w:t>
      </w:r>
      <w:r w:rsidR="00563E76">
        <w:rPr>
          <w:b/>
          <w:sz w:val="24"/>
          <w:szCs w:val="24"/>
          <w:lang w:val="fr-CA"/>
        </w:rPr>
        <w:t xml:space="preserve">aux </w:t>
      </w:r>
      <w:r w:rsidR="00BF1F83">
        <w:rPr>
          <w:b/>
          <w:sz w:val="24"/>
          <w:szCs w:val="24"/>
          <w:lang w:val="fr-CA"/>
        </w:rPr>
        <w:t>retraités</w:t>
      </w:r>
    </w:p>
    <w:p w:rsidR="005A3E41" w:rsidRDefault="00755EEF" w:rsidP="00455FC3">
      <w:pPr>
        <w:spacing w:line="240" w:lineRule="auto"/>
        <w:ind w:firstLine="720"/>
        <w:jc w:val="both"/>
        <w:rPr>
          <w:sz w:val="24"/>
          <w:szCs w:val="24"/>
          <w:lang w:val="fr-CA"/>
        </w:rPr>
      </w:pPr>
      <w:r>
        <w:rPr>
          <w:sz w:val="24"/>
          <w:szCs w:val="24"/>
          <w:lang w:val="fr-CA"/>
        </w:rPr>
        <w:t xml:space="preserve">À l’intérieur de la </w:t>
      </w:r>
      <w:r w:rsidR="00590298" w:rsidRPr="00590298">
        <w:rPr>
          <w:i/>
          <w:sz w:val="24"/>
          <w:szCs w:val="24"/>
          <w:lang w:val="fr-CA"/>
        </w:rPr>
        <w:t>Loi favorisant la santé financière et la pérennité des régimes de retraite à prestations déterminées du secteur municipal</w:t>
      </w:r>
      <w:r w:rsidR="00414AF7">
        <w:rPr>
          <w:i/>
          <w:sz w:val="24"/>
          <w:szCs w:val="24"/>
          <w:lang w:val="fr-CA"/>
        </w:rPr>
        <w:t xml:space="preserve"> </w:t>
      </w:r>
      <w:r w:rsidR="00414AF7" w:rsidRPr="00414AF7">
        <w:rPr>
          <w:sz w:val="24"/>
          <w:szCs w:val="24"/>
          <w:lang w:val="fr-CA"/>
        </w:rPr>
        <w:t>(Loi 15)</w:t>
      </w:r>
      <w:r w:rsidR="00590298">
        <w:rPr>
          <w:sz w:val="24"/>
          <w:szCs w:val="24"/>
          <w:lang w:val="fr-CA"/>
        </w:rPr>
        <w:t xml:space="preserve">, le principe de la séparation du déficit entre les participants actifs et les retraités avait été introduit. Ce principe permettait aux participants actifs de réduire leurs prestations en proportion de leur part du déficit </w:t>
      </w:r>
      <w:r w:rsidR="00563E76">
        <w:rPr>
          <w:sz w:val="24"/>
          <w:szCs w:val="24"/>
          <w:lang w:val="fr-CA"/>
        </w:rPr>
        <w:t xml:space="preserve">de manière à </w:t>
      </w:r>
      <w:r w:rsidR="00590298">
        <w:rPr>
          <w:sz w:val="24"/>
          <w:szCs w:val="24"/>
          <w:lang w:val="fr-CA"/>
        </w:rPr>
        <w:t>ne pas avoir à assumer d</w:t>
      </w:r>
      <w:r>
        <w:rPr>
          <w:sz w:val="24"/>
          <w:szCs w:val="24"/>
          <w:lang w:val="fr-CA"/>
        </w:rPr>
        <w:t>’une</w:t>
      </w:r>
      <w:r w:rsidR="00590298">
        <w:rPr>
          <w:sz w:val="24"/>
          <w:szCs w:val="24"/>
          <w:lang w:val="fr-CA"/>
        </w:rPr>
        <w:t xml:space="preserve"> quelconque façon</w:t>
      </w:r>
      <w:r>
        <w:rPr>
          <w:sz w:val="24"/>
          <w:szCs w:val="24"/>
          <w:lang w:val="fr-CA"/>
        </w:rPr>
        <w:t xml:space="preserve"> </w:t>
      </w:r>
      <w:r w:rsidR="00590298">
        <w:rPr>
          <w:sz w:val="24"/>
          <w:szCs w:val="24"/>
          <w:lang w:val="fr-CA"/>
        </w:rPr>
        <w:t>une part du déficit attribuable aux retraités.</w:t>
      </w:r>
      <w:r w:rsidR="008344B5">
        <w:rPr>
          <w:sz w:val="24"/>
          <w:szCs w:val="24"/>
          <w:lang w:val="fr-CA"/>
        </w:rPr>
        <w:t xml:space="preserve"> </w:t>
      </w:r>
      <w:r w:rsidR="0059085A">
        <w:rPr>
          <w:sz w:val="24"/>
          <w:szCs w:val="24"/>
          <w:lang w:val="fr-CA"/>
        </w:rPr>
        <w:t xml:space="preserve">Nous </w:t>
      </w:r>
      <w:r w:rsidR="00563E76">
        <w:rPr>
          <w:sz w:val="24"/>
          <w:szCs w:val="24"/>
          <w:lang w:val="fr-CA"/>
        </w:rPr>
        <w:t xml:space="preserve">sommes </w:t>
      </w:r>
      <w:r w:rsidR="0059085A">
        <w:rPr>
          <w:sz w:val="24"/>
          <w:szCs w:val="24"/>
          <w:lang w:val="fr-CA"/>
        </w:rPr>
        <w:t xml:space="preserve">d’avis que cette façon de faire </w:t>
      </w:r>
      <w:r w:rsidR="008130A0">
        <w:rPr>
          <w:sz w:val="24"/>
          <w:szCs w:val="24"/>
          <w:lang w:val="fr-CA"/>
        </w:rPr>
        <w:t>garantit l'</w:t>
      </w:r>
      <w:r w:rsidR="0059085A">
        <w:rPr>
          <w:sz w:val="24"/>
          <w:szCs w:val="24"/>
          <w:lang w:val="fr-CA"/>
        </w:rPr>
        <w:t>équit</w:t>
      </w:r>
      <w:r w:rsidR="008130A0">
        <w:rPr>
          <w:sz w:val="24"/>
          <w:szCs w:val="24"/>
          <w:lang w:val="fr-CA"/>
        </w:rPr>
        <w:t>é</w:t>
      </w:r>
      <w:r w:rsidR="0059085A">
        <w:rPr>
          <w:sz w:val="24"/>
          <w:szCs w:val="24"/>
          <w:lang w:val="fr-CA"/>
        </w:rPr>
        <w:t xml:space="preserve"> entre les participants actifs et les retraités.</w:t>
      </w:r>
    </w:p>
    <w:p w:rsidR="00755EEF" w:rsidRDefault="008344B5" w:rsidP="000B1D2B">
      <w:pPr>
        <w:spacing w:line="240" w:lineRule="auto"/>
        <w:jc w:val="both"/>
        <w:rPr>
          <w:sz w:val="24"/>
          <w:szCs w:val="24"/>
          <w:lang w:val="fr-CA"/>
        </w:rPr>
      </w:pPr>
      <w:r>
        <w:rPr>
          <w:sz w:val="24"/>
          <w:szCs w:val="24"/>
          <w:lang w:val="fr-CA"/>
        </w:rPr>
        <w:t xml:space="preserve">Ce principe </w:t>
      </w:r>
      <w:r w:rsidR="00755EEF">
        <w:rPr>
          <w:sz w:val="24"/>
          <w:szCs w:val="24"/>
          <w:lang w:val="fr-CA"/>
        </w:rPr>
        <w:t>n’a</w:t>
      </w:r>
      <w:r w:rsidR="008130A0">
        <w:rPr>
          <w:sz w:val="24"/>
          <w:szCs w:val="24"/>
          <w:lang w:val="fr-CA"/>
        </w:rPr>
        <w:t xml:space="preserve"> toutefois</w:t>
      </w:r>
      <w:r w:rsidR="0059085A">
        <w:rPr>
          <w:sz w:val="24"/>
          <w:szCs w:val="24"/>
          <w:lang w:val="fr-CA"/>
        </w:rPr>
        <w:t xml:space="preserve"> </w:t>
      </w:r>
      <w:r>
        <w:rPr>
          <w:sz w:val="24"/>
          <w:szCs w:val="24"/>
          <w:lang w:val="fr-CA"/>
        </w:rPr>
        <w:t xml:space="preserve">pas été retenu pour le </w:t>
      </w:r>
      <w:r w:rsidR="008130A0">
        <w:rPr>
          <w:sz w:val="24"/>
          <w:szCs w:val="24"/>
          <w:lang w:val="fr-CA"/>
        </w:rPr>
        <w:t>PL75</w:t>
      </w:r>
      <w:r>
        <w:rPr>
          <w:sz w:val="24"/>
          <w:szCs w:val="24"/>
          <w:lang w:val="fr-CA"/>
        </w:rPr>
        <w:t xml:space="preserve">. </w:t>
      </w:r>
      <w:r w:rsidR="008130A0">
        <w:rPr>
          <w:sz w:val="24"/>
          <w:szCs w:val="24"/>
          <w:lang w:val="fr-CA"/>
        </w:rPr>
        <w:t xml:space="preserve">On a plutôt choisi </w:t>
      </w:r>
      <w:r>
        <w:rPr>
          <w:sz w:val="24"/>
          <w:szCs w:val="24"/>
          <w:lang w:val="fr-CA"/>
        </w:rPr>
        <w:t xml:space="preserve">de séparer le déficit </w:t>
      </w:r>
      <w:r w:rsidR="00ED1A8B">
        <w:rPr>
          <w:sz w:val="24"/>
          <w:szCs w:val="24"/>
          <w:lang w:val="fr-CA"/>
        </w:rPr>
        <w:t>à éliminer</w:t>
      </w:r>
      <w:r>
        <w:rPr>
          <w:sz w:val="24"/>
          <w:szCs w:val="24"/>
          <w:lang w:val="fr-CA"/>
        </w:rPr>
        <w:t xml:space="preserve"> </w:t>
      </w:r>
      <w:r w:rsidR="00ED1A8B">
        <w:rPr>
          <w:sz w:val="24"/>
          <w:szCs w:val="24"/>
          <w:lang w:val="fr-CA"/>
        </w:rPr>
        <w:t xml:space="preserve">(qui ne correspond pas nécessairement au déficit total) </w:t>
      </w:r>
      <w:r w:rsidR="008130A0">
        <w:rPr>
          <w:sz w:val="24"/>
          <w:szCs w:val="24"/>
          <w:lang w:val="fr-CA"/>
        </w:rPr>
        <w:t>entre l’u</w:t>
      </w:r>
      <w:r>
        <w:rPr>
          <w:sz w:val="24"/>
          <w:szCs w:val="24"/>
          <w:lang w:val="fr-CA"/>
        </w:rPr>
        <w:t xml:space="preserve">niversité et les </w:t>
      </w:r>
      <w:r w:rsidR="008130A0">
        <w:rPr>
          <w:sz w:val="24"/>
          <w:szCs w:val="24"/>
          <w:lang w:val="fr-CA"/>
        </w:rPr>
        <w:t xml:space="preserve">participants actifs et de </w:t>
      </w:r>
      <w:r>
        <w:rPr>
          <w:sz w:val="24"/>
          <w:szCs w:val="24"/>
          <w:lang w:val="fr-CA"/>
        </w:rPr>
        <w:t>réduire la part payable par les participants actifs de celle supportée par les retraités.</w:t>
      </w:r>
      <w:r w:rsidR="005A3E41">
        <w:rPr>
          <w:sz w:val="24"/>
          <w:szCs w:val="24"/>
          <w:lang w:val="fr-CA"/>
        </w:rPr>
        <w:t xml:space="preserve"> </w:t>
      </w:r>
      <w:r w:rsidR="00755EEF">
        <w:rPr>
          <w:sz w:val="24"/>
          <w:szCs w:val="24"/>
          <w:lang w:val="fr-CA"/>
        </w:rPr>
        <w:t>Nous comprenons que la répartition du déficit entr</w:t>
      </w:r>
      <w:r w:rsidR="008130A0">
        <w:rPr>
          <w:sz w:val="24"/>
          <w:szCs w:val="24"/>
          <w:lang w:val="fr-CA"/>
        </w:rPr>
        <w:t>e les participants actifs et l’u</w:t>
      </w:r>
      <w:r w:rsidR="00755EEF">
        <w:rPr>
          <w:sz w:val="24"/>
          <w:szCs w:val="24"/>
          <w:lang w:val="fr-CA"/>
        </w:rPr>
        <w:t>niversité est négociable à condition que la part des participants actifs soit limité</w:t>
      </w:r>
      <w:r w:rsidR="008130A0">
        <w:rPr>
          <w:sz w:val="24"/>
          <w:szCs w:val="24"/>
          <w:lang w:val="fr-CA"/>
        </w:rPr>
        <w:t>e</w:t>
      </w:r>
      <w:r w:rsidR="00755EEF">
        <w:rPr>
          <w:sz w:val="24"/>
          <w:szCs w:val="24"/>
          <w:lang w:val="fr-CA"/>
        </w:rPr>
        <w:t xml:space="preserve"> à 50</w:t>
      </w:r>
      <w:r w:rsidR="005F7D2D">
        <w:rPr>
          <w:sz w:val="24"/>
          <w:szCs w:val="24"/>
          <w:lang w:val="fr-CA"/>
        </w:rPr>
        <w:t> </w:t>
      </w:r>
      <w:r w:rsidR="00755EEF">
        <w:rPr>
          <w:sz w:val="24"/>
          <w:szCs w:val="24"/>
          <w:lang w:val="fr-CA"/>
        </w:rPr>
        <w:t xml:space="preserve">% du déficit moins ce qui est assumé par les retraités. </w:t>
      </w:r>
      <w:r w:rsidR="005A3E41">
        <w:rPr>
          <w:sz w:val="24"/>
          <w:szCs w:val="24"/>
          <w:lang w:val="fr-CA"/>
        </w:rPr>
        <w:t>La part supportée par le</w:t>
      </w:r>
      <w:r w:rsidR="00755EEF">
        <w:rPr>
          <w:sz w:val="24"/>
          <w:szCs w:val="24"/>
          <w:lang w:val="fr-CA"/>
        </w:rPr>
        <w:t>s</w:t>
      </w:r>
      <w:r w:rsidR="005A3E41">
        <w:rPr>
          <w:sz w:val="24"/>
          <w:szCs w:val="24"/>
          <w:lang w:val="fr-CA"/>
        </w:rPr>
        <w:t xml:space="preserve"> retraités ne peut l’être qu’en suspendant l’indexation. </w:t>
      </w:r>
    </w:p>
    <w:p w:rsidR="00755EEF" w:rsidRDefault="008130A0" w:rsidP="000B1D2B">
      <w:pPr>
        <w:spacing w:line="240" w:lineRule="auto"/>
        <w:jc w:val="both"/>
        <w:rPr>
          <w:sz w:val="24"/>
          <w:szCs w:val="24"/>
          <w:lang w:val="fr-CA"/>
        </w:rPr>
      </w:pPr>
      <w:r>
        <w:rPr>
          <w:sz w:val="24"/>
          <w:szCs w:val="24"/>
          <w:lang w:val="fr-CA"/>
        </w:rPr>
        <w:t>Il est important de noter</w:t>
      </w:r>
      <w:r w:rsidR="00755EEF">
        <w:rPr>
          <w:sz w:val="24"/>
          <w:szCs w:val="24"/>
          <w:lang w:val="fr-CA"/>
        </w:rPr>
        <w:t xml:space="preserve"> pour la suite de notre </w:t>
      </w:r>
      <w:r>
        <w:rPr>
          <w:sz w:val="24"/>
          <w:szCs w:val="24"/>
          <w:lang w:val="fr-CA"/>
        </w:rPr>
        <w:t xml:space="preserve">présentation </w:t>
      </w:r>
      <w:r w:rsidR="00755EEF" w:rsidRPr="0041050A">
        <w:rPr>
          <w:sz w:val="24"/>
          <w:szCs w:val="24"/>
          <w:lang w:val="fr-CA"/>
        </w:rPr>
        <w:t xml:space="preserve">que </w:t>
      </w:r>
      <w:r w:rsidR="00970B00" w:rsidRPr="0041050A">
        <w:rPr>
          <w:sz w:val="24"/>
          <w:szCs w:val="24"/>
          <w:lang w:val="fr-CA"/>
        </w:rPr>
        <w:t>la rente viagère</w:t>
      </w:r>
      <w:r w:rsidR="00970B00">
        <w:rPr>
          <w:sz w:val="24"/>
          <w:szCs w:val="24"/>
          <w:lang w:val="fr-CA"/>
        </w:rPr>
        <w:t xml:space="preserve"> de </w:t>
      </w:r>
      <w:r w:rsidR="00755EEF">
        <w:rPr>
          <w:sz w:val="24"/>
          <w:szCs w:val="24"/>
          <w:lang w:val="fr-CA"/>
        </w:rPr>
        <w:t xml:space="preserve">notre régime </w:t>
      </w:r>
      <w:r w:rsidR="005A3E41">
        <w:rPr>
          <w:sz w:val="24"/>
          <w:szCs w:val="24"/>
          <w:lang w:val="fr-CA"/>
        </w:rPr>
        <w:t>n’est pas indexé</w:t>
      </w:r>
      <w:r w:rsidR="00970B00">
        <w:rPr>
          <w:sz w:val="24"/>
          <w:szCs w:val="24"/>
          <w:lang w:val="fr-CA"/>
        </w:rPr>
        <w:t>e</w:t>
      </w:r>
      <w:r w:rsidR="0059085A">
        <w:rPr>
          <w:sz w:val="24"/>
          <w:szCs w:val="24"/>
          <w:lang w:val="fr-CA"/>
        </w:rPr>
        <w:t xml:space="preserve"> après la retraite</w:t>
      </w:r>
      <w:r w:rsidR="005A3E41">
        <w:rPr>
          <w:sz w:val="24"/>
          <w:szCs w:val="24"/>
          <w:lang w:val="fr-CA"/>
        </w:rPr>
        <w:t>.</w:t>
      </w:r>
      <w:r w:rsidR="00755EEF">
        <w:rPr>
          <w:sz w:val="24"/>
          <w:szCs w:val="24"/>
          <w:lang w:val="fr-CA"/>
        </w:rPr>
        <w:t xml:space="preserve"> Nous </w:t>
      </w:r>
      <w:r w:rsidR="00563E76">
        <w:rPr>
          <w:sz w:val="24"/>
          <w:szCs w:val="24"/>
          <w:lang w:val="fr-CA"/>
        </w:rPr>
        <w:t>avons géré le R</w:t>
      </w:r>
      <w:r w:rsidR="00755EEF">
        <w:rPr>
          <w:sz w:val="24"/>
          <w:szCs w:val="24"/>
          <w:lang w:val="fr-CA"/>
        </w:rPr>
        <w:t>égime de façon res</w:t>
      </w:r>
      <w:r w:rsidR="00563E76">
        <w:rPr>
          <w:sz w:val="24"/>
          <w:szCs w:val="24"/>
          <w:lang w:val="fr-CA"/>
        </w:rPr>
        <w:t>ponsable en n’accordant pas d'</w:t>
      </w:r>
      <w:r w:rsidR="00755EEF">
        <w:rPr>
          <w:sz w:val="24"/>
          <w:szCs w:val="24"/>
          <w:lang w:val="fr-CA"/>
        </w:rPr>
        <w:t>indexation garantie</w:t>
      </w:r>
      <w:r>
        <w:rPr>
          <w:sz w:val="24"/>
          <w:szCs w:val="24"/>
          <w:lang w:val="fr-CA"/>
        </w:rPr>
        <w:t>,</w:t>
      </w:r>
      <w:r w:rsidR="00755EEF">
        <w:rPr>
          <w:sz w:val="24"/>
          <w:szCs w:val="24"/>
          <w:lang w:val="fr-CA"/>
        </w:rPr>
        <w:t xml:space="preserve"> que nous jugions trop </w:t>
      </w:r>
      <w:r w:rsidR="00ED14AE">
        <w:rPr>
          <w:sz w:val="24"/>
          <w:szCs w:val="24"/>
          <w:lang w:val="fr-CA"/>
        </w:rPr>
        <w:t xml:space="preserve">risquée et </w:t>
      </w:r>
      <w:r w:rsidR="00755EEF">
        <w:rPr>
          <w:sz w:val="24"/>
          <w:szCs w:val="24"/>
          <w:lang w:val="fr-CA"/>
        </w:rPr>
        <w:t xml:space="preserve">onéreuse. </w:t>
      </w:r>
      <w:r w:rsidR="00403BE0">
        <w:rPr>
          <w:sz w:val="24"/>
          <w:szCs w:val="24"/>
          <w:lang w:val="fr-CA"/>
        </w:rPr>
        <w:t xml:space="preserve">Il est également important de rappeler que </w:t>
      </w:r>
      <w:r w:rsidR="00755EEF">
        <w:rPr>
          <w:sz w:val="24"/>
          <w:szCs w:val="24"/>
          <w:lang w:val="fr-CA"/>
        </w:rPr>
        <w:t>le</w:t>
      </w:r>
      <w:r w:rsidR="00403BE0">
        <w:rPr>
          <w:sz w:val="24"/>
          <w:szCs w:val="24"/>
          <w:lang w:val="fr-CA"/>
        </w:rPr>
        <w:t xml:space="preserve"> déficit de</w:t>
      </w:r>
      <w:r w:rsidR="00755EEF">
        <w:rPr>
          <w:sz w:val="24"/>
          <w:szCs w:val="24"/>
          <w:lang w:val="fr-CA"/>
        </w:rPr>
        <w:t>s régimes de retraite d</w:t>
      </w:r>
      <w:r w:rsidR="00ED14AE">
        <w:rPr>
          <w:sz w:val="24"/>
          <w:szCs w:val="24"/>
          <w:lang w:val="fr-CA"/>
        </w:rPr>
        <w:t>es</w:t>
      </w:r>
      <w:r w:rsidR="00755EEF">
        <w:rPr>
          <w:sz w:val="24"/>
          <w:szCs w:val="24"/>
          <w:lang w:val="fr-CA"/>
        </w:rPr>
        <w:t xml:space="preserve"> secteur</w:t>
      </w:r>
      <w:r w:rsidR="00ED14AE">
        <w:rPr>
          <w:sz w:val="24"/>
          <w:szCs w:val="24"/>
          <w:lang w:val="fr-CA"/>
        </w:rPr>
        <w:t xml:space="preserve">s municipal et universitaire </w:t>
      </w:r>
      <w:r w:rsidR="00403BE0">
        <w:rPr>
          <w:sz w:val="24"/>
          <w:szCs w:val="24"/>
          <w:lang w:val="fr-CA"/>
        </w:rPr>
        <w:t>n'est pas dû à l'</w:t>
      </w:r>
      <w:r w:rsidR="00ED14AE">
        <w:rPr>
          <w:sz w:val="24"/>
          <w:szCs w:val="24"/>
          <w:lang w:val="fr-CA"/>
        </w:rPr>
        <w:t>index</w:t>
      </w:r>
      <w:r w:rsidR="00403BE0">
        <w:rPr>
          <w:sz w:val="24"/>
          <w:szCs w:val="24"/>
          <w:lang w:val="fr-CA"/>
        </w:rPr>
        <w:t xml:space="preserve">ation </w:t>
      </w:r>
      <w:r w:rsidR="00ED14AE">
        <w:rPr>
          <w:sz w:val="24"/>
          <w:szCs w:val="24"/>
          <w:lang w:val="fr-CA"/>
        </w:rPr>
        <w:t xml:space="preserve">après la retraite. </w:t>
      </w:r>
      <w:r w:rsidR="00403BE0">
        <w:rPr>
          <w:sz w:val="24"/>
          <w:szCs w:val="24"/>
          <w:lang w:val="fr-CA"/>
        </w:rPr>
        <w:t>D'ailleurs, l</w:t>
      </w:r>
      <w:r w:rsidR="00ED14AE">
        <w:rPr>
          <w:sz w:val="24"/>
          <w:szCs w:val="24"/>
          <w:lang w:val="fr-CA"/>
        </w:rPr>
        <w:t>’indexation post retraite a même été source de gains actuariels au cours des 25 dernières années. L’indexation garantie après la retraite, comme d’autres prestations accessoires, n’a contribué qu’à rendre les régimes plus importants en termes de passifs actuariels</w:t>
      </w:r>
      <w:r w:rsidR="00403BE0">
        <w:rPr>
          <w:sz w:val="24"/>
          <w:szCs w:val="24"/>
          <w:lang w:val="fr-CA"/>
        </w:rPr>
        <w:t>,</w:t>
      </w:r>
      <w:r w:rsidR="00ED14AE">
        <w:rPr>
          <w:sz w:val="24"/>
          <w:szCs w:val="24"/>
          <w:lang w:val="fr-CA"/>
        </w:rPr>
        <w:t xml:space="preserve"> et par conséquent, de déficits actuariels.</w:t>
      </w:r>
    </w:p>
    <w:p w:rsidR="00ED14AE" w:rsidRDefault="00ED14AE" w:rsidP="000B1D2B">
      <w:pPr>
        <w:spacing w:line="240" w:lineRule="auto"/>
        <w:jc w:val="both"/>
        <w:rPr>
          <w:sz w:val="24"/>
          <w:szCs w:val="24"/>
          <w:lang w:val="fr-CA"/>
        </w:rPr>
      </w:pPr>
      <w:r>
        <w:rPr>
          <w:sz w:val="24"/>
          <w:szCs w:val="24"/>
          <w:lang w:val="fr-CA"/>
        </w:rPr>
        <w:lastRenderedPageBreak/>
        <w:t>Pour revenir à notre régime de retraite, celui-ci, comme plusieurs autres</w:t>
      </w:r>
      <w:r w:rsidR="00403BE0">
        <w:rPr>
          <w:sz w:val="24"/>
          <w:szCs w:val="24"/>
          <w:lang w:val="fr-CA"/>
        </w:rPr>
        <w:t>,</w:t>
      </w:r>
      <w:r>
        <w:rPr>
          <w:sz w:val="24"/>
          <w:szCs w:val="24"/>
          <w:lang w:val="fr-CA"/>
        </w:rPr>
        <w:t xml:space="preserve"> est mature. En effet, la part du passif attribuable aux participants actifs n’est que de 41 %</w:t>
      </w:r>
      <w:r w:rsidR="00403BE0">
        <w:rPr>
          <w:sz w:val="24"/>
          <w:szCs w:val="24"/>
          <w:lang w:val="fr-CA"/>
        </w:rPr>
        <w:t>,</w:t>
      </w:r>
      <w:r>
        <w:rPr>
          <w:sz w:val="24"/>
          <w:szCs w:val="24"/>
          <w:lang w:val="fr-CA"/>
        </w:rPr>
        <w:t xml:space="preserve"> alors que celle attribuable aux retraités est de 59 %. Vous comprendrez </w:t>
      </w:r>
      <w:r w:rsidR="00563E76">
        <w:rPr>
          <w:sz w:val="24"/>
          <w:szCs w:val="24"/>
          <w:lang w:val="fr-CA"/>
        </w:rPr>
        <w:t xml:space="preserve">donc </w:t>
      </w:r>
      <w:r>
        <w:rPr>
          <w:sz w:val="24"/>
          <w:szCs w:val="24"/>
          <w:lang w:val="fr-CA"/>
        </w:rPr>
        <w:t>qu</w:t>
      </w:r>
      <w:r w:rsidR="00403BE0">
        <w:rPr>
          <w:sz w:val="24"/>
          <w:szCs w:val="24"/>
          <w:lang w:val="fr-CA"/>
        </w:rPr>
        <w:t xml:space="preserve">'avec le PL75, </w:t>
      </w:r>
      <w:r>
        <w:rPr>
          <w:sz w:val="24"/>
          <w:szCs w:val="24"/>
          <w:lang w:val="fr-CA"/>
        </w:rPr>
        <w:t>les employés supporteraient seuls avec l’Université la part du déficit attribuable aux retraités</w:t>
      </w:r>
      <w:r w:rsidR="00563E76">
        <w:rPr>
          <w:sz w:val="24"/>
          <w:szCs w:val="24"/>
          <w:lang w:val="fr-CA"/>
        </w:rPr>
        <w:t>. L</w:t>
      </w:r>
      <w:r>
        <w:rPr>
          <w:sz w:val="24"/>
          <w:szCs w:val="24"/>
          <w:lang w:val="fr-CA"/>
        </w:rPr>
        <w:t xml:space="preserve">es réductions deviendraient </w:t>
      </w:r>
      <w:r w:rsidR="00DE6DB8">
        <w:rPr>
          <w:sz w:val="24"/>
          <w:szCs w:val="24"/>
          <w:lang w:val="fr-CA"/>
        </w:rPr>
        <w:t xml:space="preserve">très importantes </w:t>
      </w:r>
      <w:r>
        <w:rPr>
          <w:sz w:val="24"/>
          <w:szCs w:val="24"/>
          <w:lang w:val="fr-CA"/>
        </w:rPr>
        <w:t xml:space="preserve">et </w:t>
      </w:r>
      <w:r w:rsidR="00563E76">
        <w:rPr>
          <w:sz w:val="24"/>
          <w:szCs w:val="24"/>
          <w:lang w:val="fr-CA"/>
        </w:rPr>
        <w:t xml:space="preserve">surtout </w:t>
      </w:r>
      <w:r>
        <w:rPr>
          <w:sz w:val="24"/>
          <w:szCs w:val="24"/>
          <w:lang w:val="fr-CA"/>
        </w:rPr>
        <w:t>inéquitables.</w:t>
      </w:r>
      <w:r w:rsidR="00DE6DB8">
        <w:rPr>
          <w:sz w:val="24"/>
          <w:szCs w:val="24"/>
          <w:lang w:val="fr-CA"/>
        </w:rPr>
        <w:t xml:space="preserve"> Le principe du triangle où chacun des acteurs, soit l’Université, les participants actifs et les retraités</w:t>
      </w:r>
      <w:r w:rsidR="00E8452D">
        <w:rPr>
          <w:sz w:val="24"/>
          <w:szCs w:val="24"/>
          <w:lang w:val="fr-CA"/>
        </w:rPr>
        <w:t>,</w:t>
      </w:r>
      <w:r w:rsidR="00DE6DB8">
        <w:rPr>
          <w:sz w:val="24"/>
          <w:szCs w:val="24"/>
          <w:lang w:val="fr-CA"/>
        </w:rPr>
        <w:t xml:space="preserve"> </w:t>
      </w:r>
      <w:r w:rsidR="00403BE0">
        <w:rPr>
          <w:sz w:val="24"/>
          <w:szCs w:val="24"/>
          <w:lang w:val="fr-CA"/>
        </w:rPr>
        <w:t>participe</w:t>
      </w:r>
      <w:r w:rsidR="00FE234F">
        <w:rPr>
          <w:sz w:val="24"/>
          <w:szCs w:val="24"/>
          <w:lang w:val="fr-CA"/>
        </w:rPr>
        <w:t>nt</w:t>
      </w:r>
      <w:r w:rsidR="00671915">
        <w:rPr>
          <w:sz w:val="24"/>
          <w:szCs w:val="24"/>
          <w:lang w:val="fr-CA"/>
        </w:rPr>
        <w:t xml:space="preserve"> à l’effort de restructuration </w:t>
      </w:r>
      <w:r w:rsidR="00DE6DB8">
        <w:rPr>
          <w:sz w:val="24"/>
          <w:szCs w:val="24"/>
          <w:lang w:val="fr-CA"/>
        </w:rPr>
        <w:t>est complètement aplati pour ne former qu’une ligne à deux joueurs.</w:t>
      </w:r>
    </w:p>
    <w:p w:rsidR="00BF1F83" w:rsidRDefault="00DE6DB8" w:rsidP="000B1D2B">
      <w:pPr>
        <w:spacing w:line="240" w:lineRule="auto"/>
        <w:jc w:val="both"/>
        <w:rPr>
          <w:sz w:val="24"/>
          <w:szCs w:val="24"/>
          <w:lang w:val="fr-CA"/>
        </w:rPr>
      </w:pPr>
      <w:r>
        <w:rPr>
          <w:sz w:val="24"/>
          <w:szCs w:val="24"/>
          <w:lang w:val="fr-CA"/>
        </w:rPr>
        <w:t xml:space="preserve">Pour donner un exemple concret de ce </w:t>
      </w:r>
      <w:r w:rsidR="00D47E28">
        <w:rPr>
          <w:sz w:val="24"/>
          <w:szCs w:val="24"/>
          <w:lang w:val="fr-CA"/>
        </w:rPr>
        <w:t xml:space="preserve">à quoi </w:t>
      </w:r>
      <w:r>
        <w:rPr>
          <w:sz w:val="24"/>
          <w:szCs w:val="24"/>
          <w:lang w:val="fr-CA"/>
        </w:rPr>
        <w:t xml:space="preserve">les réductions pourraient </w:t>
      </w:r>
      <w:r w:rsidR="00403BE0">
        <w:rPr>
          <w:sz w:val="24"/>
          <w:szCs w:val="24"/>
          <w:lang w:val="fr-CA"/>
        </w:rPr>
        <w:t>ressembler</w:t>
      </w:r>
      <w:r>
        <w:rPr>
          <w:sz w:val="24"/>
          <w:szCs w:val="24"/>
          <w:lang w:val="fr-CA"/>
        </w:rPr>
        <w:t xml:space="preserve">, </w:t>
      </w:r>
      <w:r w:rsidR="00767D5F">
        <w:rPr>
          <w:sz w:val="24"/>
          <w:szCs w:val="24"/>
          <w:lang w:val="fr-CA"/>
        </w:rPr>
        <w:t>faisons l’hypothèse que</w:t>
      </w:r>
      <w:r w:rsidR="00530159">
        <w:rPr>
          <w:sz w:val="24"/>
          <w:szCs w:val="24"/>
          <w:lang w:val="fr-CA"/>
        </w:rPr>
        <w:t xml:space="preserve"> les participants actifs assument 40 % du déficit</w:t>
      </w:r>
      <w:r w:rsidR="00ED1A8B">
        <w:rPr>
          <w:sz w:val="24"/>
          <w:szCs w:val="24"/>
          <w:lang w:val="fr-CA"/>
        </w:rPr>
        <w:t xml:space="preserve"> total</w:t>
      </w:r>
      <w:r w:rsidR="00767D5F">
        <w:rPr>
          <w:sz w:val="24"/>
          <w:szCs w:val="24"/>
          <w:lang w:val="fr-CA"/>
        </w:rPr>
        <w:t>.</w:t>
      </w:r>
      <w:r w:rsidR="00530159">
        <w:rPr>
          <w:sz w:val="24"/>
          <w:szCs w:val="24"/>
          <w:lang w:val="fr-CA"/>
        </w:rPr>
        <w:t xml:space="preserve"> </w:t>
      </w:r>
      <w:r w:rsidR="00767D5F">
        <w:rPr>
          <w:sz w:val="24"/>
          <w:szCs w:val="24"/>
          <w:lang w:val="fr-CA"/>
        </w:rPr>
        <w:t>C</w:t>
      </w:r>
      <w:r w:rsidR="00530159">
        <w:rPr>
          <w:sz w:val="24"/>
          <w:szCs w:val="24"/>
          <w:lang w:val="fr-CA"/>
        </w:rPr>
        <w:t xml:space="preserve">ela impliquerait une réduction de la valeur totale des prestations de </w:t>
      </w:r>
      <w:r w:rsidR="00142302">
        <w:rPr>
          <w:sz w:val="24"/>
          <w:szCs w:val="24"/>
          <w:lang w:val="fr-CA"/>
        </w:rPr>
        <w:t xml:space="preserve">l’ordre de 17,5 % </w:t>
      </w:r>
      <w:r w:rsidR="00530159">
        <w:rPr>
          <w:sz w:val="24"/>
          <w:szCs w:val="24"/>
          <w:lang w:val="fr-CA"/>
        </w:rPr>
        <w:t xml:space="preserve">(40 % de 24 491 000 </w:t>
      </w:r>
      <w:r w:rsidR="00767D5F">
        <w:rPr>
          <w:sz w:val="24"/>
          <w:szCs w:val="24"/>
          <w:lang w:val="fr-CA"/>
        </w:rPr>
        <w:t xml:space="preserve">$ </w:t>
      </w:r>
      <w:r w:rsidR="00530159">
        <w:rPr>
          <w:sz w:val="24"/>
          <w:szCs w:val="24"/>
          <w:lang w:val="fr-CA"/>
        </w:rPr>
        <w:t xml:space="preserve">divisé par 56 773 000 </w:t>
      </w:r>
      <w:r w:rsidR="00767D5F">
        <w:rPr>
          <w:sz w:val="24"/>
          <w:szCs w:val="24"/>
          <w:lang w:val="fr-CA"/>
        </w:rPr>
        <w:t xml:space="preserve">$ </w:t>
      </w:r>
      <w:r w:rsidR="00530159">
        <w:rPr>
          <w:sz w:val="24"/>
          <w:szCs w:val="24"/>
          <w:lang w:val="fr-CA"/>
        </w:rPr>
        <w:t>de valeur du passif total).</w:t>
      </w:r>
      <w:r w:rsidR="00767D5F">
        <w:rPr>
          <w:sz w:val="24"/>
          <w:szCs w:val="24"/>
          <w:lang w:val="fr-CA"/>
        </w:rPr>
        <w:t xml:space="preserve"> Si les participants actifs assumaient 50 %, la réduction serait de l’ordre de </w:t>
      </w:r>
      <w:r w:rsidR="00D47E28">
        <w:rPr>
          <w:sz w:val="24"/>
          <w:szCs w:val="24"/>
          <w:lang w:val="fr-CA"/>
        </w:rPr>
        <w:t xml:space="preserve">21,5 % </w:t>
      </w:r>
      <w:r w:rsidR="00767D5F">
        <w:rPr>
          <w:sz w:val="24"/>
          <w:szCs w:val="24"/>
          <w:lang w:val="fr-CA"/>
        </w:rPr>
        <w:t>(50 % de 24 491 000 $ divisé par 56 773 000 $ de valeur du passif total</w:t>
      </w:r>
      <w:r w:rsidR="00414AF7">
        <w:rPr>
          <w:sz w:val="24"/>
          <w:szCs w:val="24"/>
          <w:lang w:val="fr-CA"/>
        </w:rPr>
        <w:t>)</w:t>
      </w:r>
      <w:r w:rsidR="00767D5F">
        <w:rPr>
          <w:sz w:val="24"/>
          <w:szCs w:val="24"/>
          <w:lang w:val="fr-CA"/>
        </w:rPr>
        <w:t xml:space="preserve">. Les retraités, de leur côté, n’auraient aucune réduction ou </w:t>
      </w:r>
      <w:r w:rsidR="002D5C8A">
        <w:rPr>
          <w:sz w:val="24"/>
          <w:szCs w:val="24"/>
          <w:lang w:val="fr-CA"/>
        </w:rPr>
        <w:t xml:space="preserve">seulement </w:t>
      </w:r>
      <w:r w:rsidR="00767D5F">
        <w:rPr>
          <w:sz w:val="24"/>
          <w:szCs w:val="24"/>
          <w:lang w:val="fr-CA"/>
        </w:rPr>
        <w:t xml:space="preserve">une réduction symbolique pour les moins de 65 ans correspondant à </w:t>
      </w:r>
      <w:r w:rsidR="0062701D">
        <w:rPr>
          <w:sz w:val="24"/>
          <w:szCs w:val="24"/>
          <w:lang w:val="fr-CA"/>
        </w:rPr>
        <w:t xml:space="preserve">la suspension de </w:t>
      </w:r>
      <w:r w:rsidR="00767D5F">
        <w:rPr>
          <w:sz w:val="24"/>
          <w:szCs w:val="24"/>
          <w:lang w:val="fr-CA"/>
        </w:rPr>
        <w:t xml:space="preserve">l’indexation de la rente de raccordement. </w:t>
      </w:r>
      <w:r w:rsidR="00D47E28">
        <w:rPr>
          <w:sz w:val="24"/>
          <w:szCs w:val="24"/>
          <w:lang w:val="fr-CA"/>
        </w:rPr>
        <w:t xml:space="preserve">Pour faire la comparaison avec la Loi 15, les participants actifs n’auraient eu qu’à laisser tomber 9 % de la valeur de leurs prestations. </w:t>
      </w:r>
      <w:r w:rsidR="00767D5F">
        <w:rPr>
          <w:sz w:val="24"/>
          <w:szCs w:val="24"/>
          <w:lang w:val="fr-CA"/>
        </w:rPr>
        <w:t>Cette approche n’est définitivement pas équitable</w:t>
      </w:r>
      <w:r w:rsidR="0062701D">
        <w:rPr>
          <w:sz w:val="24"/>
          <w:szCs w:val="24"/>
          <w:lang w:val="fr-CA"/>
        </w:rPr>
        <w:t xml:space="preserve"> entre les intervenants</w:t>
      </w:r>
      <w:r w:rsidR="00767D5F">
        <w:rPr>
          <w:sz w:val="24"/>
          <w:szCs w:val="24"/>
          <w:lang w:val="fr-CA"/>
        </w:rPr>
        <w:t>.</w:t>
      </w:r>
    </w:p>
    <w:p w:rsidR="00BD7DEA" w:rsidRDefault="00BD7DEA" w:rsidP="00BD7DEA">
      <w:pPr>
        <w:spacing w:line="240" w:lineRule="auto"/>
        <w:ind w:firstLine="720"/>
        <w:rPr>
          <w:b/>
          <w:i/>
          <w:iCs/>
          <w:sz w:val="24"/>
          <w:szCs w:val="24"/>
          <w:lang w:val="fr-CA"/>
        </w:rPr>
      </w:pPr>
    </w:p>
    <w:p w:rsidR="004273CE" w:rsidRPr="0067033B" w:rsidRDefault="00030426" w:rsidP="00BD7DEA">
      <w:pPr>
        <w:spacing w:line="240" w:lineRule="auto"/>
        <w:ind w:firstLine="720"/>
        <w:rPr>
          <w:b/>
          <w:i/>
          <w:iCs/>
          <w:sz w:val="24"/>
          <w:szCs w:val="24"/>
          <w:lang w:val="fr-CA"/>
        </w:rPr>
      </w:pPr>
      <w:r>
        <w:rPr>
          <w:b/>
          <w:i/>
          <w:iCs/>
          <w:sz w:val="24"/>
          <w:szCs w:val="24"/>
          <w:lang w:val="fr-CA"/>
        </w:rPr>
        <w:t>Proposition</w:t>
      </w:r>
      <w:r w:rsidR="00BE782C" w:rsidRPr="0067033B">
        <w:rPr>
          <w:b/>
          <w:i/>
          <w:iCs/>
          <w:sz w:val="24"/>
          <w:szCs w:val="24"/>
          <w:lang w:val="fr-CA"/>
        </w:rPr>
        <w:t>s</w:t>
      </w:r>
    </w:p>
    <w:p w:rsidR="004273CE" w:rsidRDefault="00545A31" w:rsidP="00455FC3">
      <w:pPr>
        <w:spacing w:line="240" w:lineRule="auto"/>
        <w:jc w:val="both"/>
        <w:rPr>
          <w:sz w:val="24"/>
          <w:szCs w:val="24"/>
          <w:lang w:val="fr-CA"/>
        </w:rPr>
      </w:pPr>
      <w:r>
        <w:rPr>
          <w:sz w:val="24"/>
          <w:szCs w:val="24"/>
          <w:lang w:val="fr-CA"/>
        </w:rPr>
        <w:t>Nous suggérons d'adopter une des deux approches suivantes:</w:t>
      </w:r>
    </w:p>
    <w:p w:rsidR="004273CE" w:rsidRDefault="004273CE" w:rsidP="000B1D2B">
      <w:pPr>
        <w:pStyle w:val="ListParagraph"/>
        <w:numPr>
          <w:ilvl w:val="0"/>
          <w:numId w:val="6"/>
        </w:numPr>
        <w:spacing w:line="240" w:lineRule="auto"/>
        <w:jc w:val="both"/>
        <w:rPr>
          <w:sz w:val="24"/>
          <w:szCs w:val="24"/>
          <w:lang w:val="fr-CA"/>
        </w:rPr>
      </w:pPr>
      <w:r>
        <w:rPr>
          <w:sz w:val="24"/>
          <w:szCs w:val="24"/>
          <w:lang w:val="fr-CA"/>
        </w:rPr>
        <w:t>Réintroduire le concept de la Loi 15 qui sépare les déficits au prorata</w:t>
      </w:r>
      <w:r w:rsidR="00142302">
        <w:rPr>
          <w:sz w:val="24"/>
          <w:szCs w:val="24"/>
          <w:lang w:val="fr-CA"/>
        </w:rPr>
        <w:t xml:space="preserve"> entre les participants actifs et les retraités</w:t>
      </w:r>
      <w:r w:rsidR="00545A31">
        <w:rPr>
          <w:sz w:val="24"/>
          <w:szCs w:val="24"/>
          <w:lang w:val="fr-CA"/>
        </w:rPr>
        <w:t>;</w:t>
      </w:r>
    </w:p>
    <w:p w:rsidR="00142302" w:rsidRDefault="00142302" w:rsidP="000B1D2B">
      <w:pPr>
        <w:pStyle w:val="ListParagraph"/>
        <w:numPr>
          <w:ilvl w:val="0"/>
          <w:numId w:val="6"/>
        </w:numPr>
        <w:spacing w:line="240" w:lineRule="auto"/>
        <w:jc w:val="both"/>
        <w:rPr>
          <w:sz w:val="24"/>
          <w:szCs w:val="24"/>
          <w:lang w:val="fr-CA"/>
        </w:rPr>
      </w:pPr>
      <w:r>
        <w:rPr>
          <w:sz w:val="24"/>
          <w:szCs w:val="24"/>
          <w:lang w:val="fr-CA"/>
        </w:rPr>
        <w:t>Encadrer la réduction maximale qui peut être appliquée aux participants actifs</w:t>
      </w:r>
      <w:r w:rsidR="00E649AD">
        <w:rPr>
          <w:sz w:val="24"/>
          <w:szCs w:val="24"/>
          <w:lang w:val="fr-CA"/>
        </w:rPr>
        <w:t>. Par exemple</w:t>
      </w:r>
      <w:r w:rsidR="00D47E28">
        <w:rPr>
          <w:sz w:val="24"/>
          <w:szCs w:val="24"/>
          <w:lang w:val="fr-CA"/>
        </w:rPr>
        <w:t xml:space="preserve">, </w:t>
      </w:r>
      <w:r w:rsidR="00F65C17">
        <w:rPr>
          <w:sz w:val="24"/>
          <w:szCs w:val="24"/>
          <w:lang w:val="fr-CA"/>
        </w:rPr>
        <w:t xml:space="preserve">ceci peut se faire </w:t>
      </w:r>
      <w:r w:rsidR="00CC6F27">
        <w:rPr>
          <w:sz w:val="24"/>
          <w:szCs w:val="24"/>
          <w:lang w:val="fr-CA"/>
        </w:rPr>
        <w:t xml:space="preserve">en plafonnant la part à assumer par </w:t>
      </w:r>
      <w:r w:rsidR="00D47E28">
        <w:rPr>
          <w:sz w:val="24"/>
          <w:szCs w:val="24"/>
          <w:lang w:val="fr-CA"/>
        </w:rPr>
        <w:t xml:space="preserve">les participants actifs </w:t>
      </w:r>
      <w:r w:rsidR="00CC6F27">
        <w:rPr>
          <w:sz w:val="24"/>
          <w:szCs w:val="24"/>
          <w:lang w:val="fr-CA"/>
        </w:rPr>
        <w:t>à 60 % de la part du</w:t>
      </w:r>
      <w:r w:rsidR="00E649AD">
        <w:rPr>
          <w:sz w:val="24"/>
          <w:szCs w:val="24"/>
          <w:lang w:val="fr-CA"/>
        </w:rPr>
        <w:t xml:space="preserve"> déficit</w:t>
      </w:r>
      <w:r w:rsidR="00CC6F27">
        <w:rPr>
          <w:sz w:val="24"/>
          <w:szCs w:val="24"/>
          <w:lang w:val="fr-CA"/>
        </w:rPr>
        <w:t xml:space="preserve"> </w:t>
      </w:r>
      <w:r w:rsidR="00CC6F27" w:rsidRPr="00CC6F27">
        <w:rPr>
          <w:sz w:val="24"/>
          <w:szCs w:val="24"/>
          <w:lang w:val="fr-CA"/>
        </w:rPr>
        <w:t>qui leur est imputable</w:t>
      </w:r>
      <w:r w:rsidR="00D47E28">
        <w:rPr>
          <w:sz w:val="24"/>
          <w:szCs w:val="24"/>
          <w:lang w:val="fr-CA"/>
        </w:rPr>
        <w:t>.</w:t>
      </w:r>
      <w:r w:rsidR="00BE782C">
        <w:rPr>
          <w:sz w:val="24"/>
          <w:szCs w:val="24"/>
          <w:lang w:val="fr-CA"/>
        </w:rPr>
        <w:t xml:space="preserve">   </w:t>
      </w:r>
    </w:p>
    <w:p w:rsidR="00D47E28" w:rsidRDefault="00D47E28" w:rsidP="00BD7DEA">
      <w:pPr>
        <w:spacing w:line="240" w:lineRule="auto"/>
        <w:jc w:val="both"/>
        <w:rPr>
          <w:sz w:val="24"/>
          <w:szCs w:val="24"/>
          <w:lang w:val="fr-CA"/>
        </w:rPr>
      </w:pPr>
      <w:r>
        <w:rPr>
          <w:sz w:val="24"/>
          <w:szCs w:val="24"/>
          <w:lang w:val="fr-CA"/>
        </w:rPr>
        <w:t>L</w:t>
      </w:r>
      <w:r w:rsidR="00545A31">
        <w:rPr>
          <w:sz w:val="24"/>
          <w:szCs w:val="24"/>
          <w:lang w:val="fr-CA"/>
        </w:rPr>
        <w:t>'application d</w:t>
      </w:r>
      <w:r>
        <w:rPr>
          <w:sz w:val="24"/>
          <w:szCs w:val="24"/>
          <w:lang w:val="fr-CA"/>
        </w:rPr>
        <w:t>es sugge</w:t>
      </w:r>
      <w:r w:rsidR="00CC6F27">
        <w:rPr>
          <w:sz w:val="24"/>
          <w:szCs w:val="24"/>
          <w:lang w:val="fr-CA"/>
        </w:rPr>
        <w:t>stions présentées ci-dess</w:t>
      </w:r>
      <w:r w:rsidR="00BE782C">
        <w:rPr>
          <w:sz w:val="24"/>
          <w:szCs w:val="24"/>
          <w:lang w:val="fr-CA"/>
        </w:rPr>
        <w:t>us</w:t>
      </w:r>
      <w:r w:rsidR="00CC6F27">
        <w:rPr>
          <w:sz w:val="24"/>
          <w:szCs w:val="24"/>
          <w:lang w:val="fr-CA"/>
        </w:rPr>
        <w:t xml:space="preserve"> aur</w:t>
      </w:r>
      <w:r w:rsidR="00545A31">
        <w:rPr>
          <w:sz w:val="24"/>
          <w:szCs w:val="24"/>
          <w:lang w:val="fr-CA"/>
        </w:rPr>
        <w:t>ait pour</w:t>
      </w:r>
      <w:r w:rsidR="00CC6F27">
        <w:rPr>
          <w:sz w:val="24"/>
          <w:szCs w:val="24"/>
          <w:lang w:val="fr-CA"/>
        </w:rPr>
        <w:t xml:space="preserve"> effet</w:t>
      </w:r>
      <w:r>
        <w:rPr>
          <w:sz w:val="24"/>
          <w:szCs w:val="24"/>
          <w:lang w:val="fr-CA"/>
        </w:rPr>
        <w:t xml:space="preserve"> le </w:t>
      </w:r>
      <w:r w:rsidR="00CC6F27">
        <w:rPr>
          <w:sz w:val="24"/>
          <w:szCs w:val="24"/>
          <w:lang w:val="fr-CA"/>
        </w:rPr>
        <w:t>transfe</w:t>
      </w:r>
      <w:r>
        <w:rPr>
          <w:sz w:val="24"/>
          <w:szCs w:val="24"/>
          <w:lang w:val="fr-CA"/>
        </w:rPr>
        <w:t>r</w:t>
      </w:r>
      <w:r w:rsidR="00CC6F27">
        <w:rPr>
          <w:sz w:val="24"/>
          <w:szCs w:val="24"/>
          <w:lang w:val="fr-CA"/>
        </w:rPr>
        <w:t xml:space="preserve">t </w:t>
      </w:r>
      <w:r>
        <w:rPr>
          <w:sz w:val="24"/>
          <w:szCs w:val="24"/>
          <w:lang w:val="fr-CA"/>
        </w:rPr>
        <w:t xml:space="preserve">à l’Université </w:t>
      </w:r>
      <w:r w:rsidR="00BC1EF8" w:rsidRPr="0041050A">
        <w:rPr>
          <w:sz w:val="24"/>
          <w:szCs w:val="24"/>
          <w:lang w:val="fr-CA"/>
        </w:rPr>
        <w:t>de</w:t>
      </w:r>
      <w:r w:rsidR="00BC1EF8">
        <w:rPr>
          <w:sz w:val="24"/>
          <w:szCs w:val="24"/>
          <w:lang w:val="fr-CA"/>
        </w:rPr>
        <w:t xml:space="preserve"> </w:t>
      </w:r>
      <w:r w:rsidR="00CC6F27">
        <w:rPr>
          <w:sz w:val="24"/>
          <w:szCs w:val="24"/>
          <w:lang w:val="fr-CA"/>
        </w:rPr>
        <w:t xml:space="preserve">la part du déficit attribuable aux retraités que </w:t>
      </w:r>
      <w:r>
        <w:rPr>
          <w:sz w:val="24"/>
          <w:szCs w:val="24"/>
          <w:lang w:val="fr-CA"/>
        </w:rPr>
        <w:t>les participants actifs n’assumeraient pas.</w:t>
      </w:r>
      <w:r w:rsidR="00671915">
        <w:rPr>
          <w:sz w:val="24"/>
          <w:szCs w:val="24"/>
          <w:lang w:val="fr-CA"/>
        </w:rPr>
        <w:t xml:space="preserve"> </w:t>
      </w:r>
      <w:r w:rsidR="00545A31">
        <w:rPr>
          <w:sz w:val="24"/>
          <w:szCs w:val="24"/>
          <w:lang w:val="fr-CA"/>
        </w:rPr>
        <w:t xml:space="preserve">Le cas échéant, </w:t>
      </w:r>
      <w:r w:rsidR="00671915">
        <w:rPr>
          <w:sz w:val="24"/>
          <w:szCs w:val="24"/>
          <w:lang w:val="fr-CA"/>
        </w:rPr>
        <w:t>le déficit additionnel financé par l’Université pourrait être amorti sur une plus longue période, par exemple sur 25 ans</w:t>
      </w:r>
      <w:r w:rsidR="00545A31">
        <w:rPr>
          <w:sz w:val="24"/>
          <w:szCs w:val="24"/>
          <w:lang w:val="fr-CA"/>
        </w:rPr>
        <w:t xml:space="preserve"> au </w:t>
      </w:r>
      <w:r w:rsidR="00BC1EF8" w:rsidRPr="0041050A">
        <w:rPr>
          <w:sz w:val="24"/>
          <w:szCs w:val="24"/>
          <w:lang w:val="fr-CA"/>
        </w:rPr>
        <w:t>lieu</w:t>
      </w:r>
      <w:r w:rsidR="00BC1EF8">
        <w:rPr>
          <w:sz w:val="24"/>
          <w:szCs w:val="24"/>
          <w:lang w:val="fr-CA"/>
        </w:rPr>
        <w:t xml:space="preserve"> </w:t>
      </w:r>
      <w:r w:rsidR="00545A31">
        <w:rPr>
          <w:sz w:val="24"/>
          <w:szCs w:val="24"/>
          <w:lang w:val="fr-CA"/>
        </w:rPr>
        <w:t>de 15</w:t>
      </w:r>
      <w:r w:rsidR="00671915">
        <w:rPr>
          <w:sz w:val="24"/>
          <w:szCs w:val="24"/>
          <w:lang w:val="fr-CA"/>
        </w:rPr>
        <w:t>.</w:t>
      </w:r>
    </w:p>
    <w:p w:rsidR="00BD7DEA" w:rsidRDefault="00BD7DEA" w:rsidP="00BD7DEA">
      <w:pPr>
        <w:spacing w:line="240" w:lineRule="auto"/>
        <w:jc w:val="both"/>
        <w:rPr>
          <w:sz w:val="24"/>
          <w:szCs w:val="24"/>
          <w:lang w:val="fr-CA"/>
        </w:rPr>
      </w:pPr>
    </w:p>
    <w:p w:rsidR="006F13BB" w:rsidRPr="00152088" w:rsidRDefault="00BD7DEA" w:rsidP="00BD7DEA">
      <w:pPr>
        <w:spacing w:line="240" w:lineRule="auto"/>
        <w:ind w:left="720"/>
        <w:rPr>
          <w:b/>
          <w:sz w:val="24"/>
          <w:szCs w:val="24"/>
          <w:lang w:val="fr-CA"/>
        </w:rPr>
      </w:pPr>
      <w:r>
        <w:rPr>
          <w:b/>
          <w:sz w:val="24"/>
          <w:szCs w:val="24"/>
          <w:lang w:val="fr-CA"/>
        </w:rPr>
        <w:t>3.2) Cotisations excédentaires</w:t>
      </w:r>
    </w:p>
    <w:p w:rsidR="00FE38CE" w:rsidRDefault="006F13BB" w:rsidP="00BD7DEA">
      <w:pPr>
        <w:spacing w:line="240" w:lineRule="auto"/>
        <w:ind w:firstLine="720"/>
        <w:jc w:val="both"/>
        <w:rPr>
          <w:sz w:val="24"/>
          <w:szCs w:val="24"/>
          <w:lang w:val="fr-CA"/>
        </w:rPr>
      </w:pPr>
      <w:r w:rsidRPr="00152088">
        <w:rPr>
          <w:sz w:val="24"/>
          <w:szCs w:val="24"/>
          <w:lang w:val="fr-CA"/>
        </w:rPr>
        <w:t xml:space="preserve">Dans le </w:t>
      </w:r>
      <w:r>
        <w:rPr>
          <w:sz w:val="24"/>
          <w:szCs w:val="24"/>
          <w:lang w:val="fr-CA"/>
        </w:rPr>
        <w:t>contexte où les prestations des participants actifs devr</w:t>
      </w:r>
      <w:r w:rsidR="00545A31">
        <w:rPr>
          <w:sz w:val="24"/>
          <w:szCs w:val="24"/>
          <w:lang w:val="fr-CA"/>
        </w:rPr>
        <w:t xml:space="preserve">aient </w:t>
      </w:r>
      <w:r>
        <w:rPr>
          <w:sz w:val="24"/>
          <w:szCs w:val="24"/>
          <w:lang w:val="fr-CA"/>
        </w:rPr>
        <w:t xml:space="preserve">être réduites, le maintien du calcul des cotisations excédentaires </w:t>
      </w:r>
      <w:r w:rsidR="00FE38CE">
        <w:rPr>
          <w:sz w:val="24"/>
          <w:szCs w:val="24"/>
          <w:lang w:val="fr-CA"/>
        </w:rPr>
        <w:t>pou</w:t>
      </w:r>
      <w:r w:rsidR="00BE782C">
        <w:rPr>
          <w:sz w:val="24"/>
          <w:szCs w:val="24"/>
          <w:lang w:val="fr-CA"/>
        </w:rPr>
        <w:t>r l’a</w:t>
      </w:r>
      <w:r>
        <w:rPr>
          <w:sz w:val="24"/>
          <w:szCs w:val="24"/>
          <w:lang w:val="fr-CA"/>
        </w:rPr>
        <w:t>ncien volet n’a</w:t>
      </w:r>
      <w:r w:rsidR="00FE38CE">
        <w:rPr>
          <w:sz w:val="24"/>
          <w:szCs w:val="24"/>
          <w:lang w:val="fr-CA"/>
        </w:rPr>
        <w:t>, selon nous,</w:t>
      </w:r>
      <w:r>
        <w:rPr>
          <w:sz w:val="24"/>
          <w:szCs w:val="24"/>
          <w:lang w:val="fr-CA"/>
        </w:rPr>
        <w:t xml:space="preserve"> plus </w:t>
      </w:r>
      <w:r w:rsidR="00414AF7">
        <w:rPr>
          <w:sz w:val="24"/>
          <w:szCs w:val="24"/>
          <w:lang w:val="fr-CA"/>
        </w:rPr>
        <w:t>s</w:t>
      </w:r>
      <w:r>
        <w:rPr>
          <w:sz w:val="24"/>
          <w:szCs w:val="24"/>
          <w:lang w:val="fr-CA"/>
        </w:rPr>
        <w:t xml:space="preserve">a </w:t>
      </w:r>
      <w:r w:rsidR="00FE38CE">
        <w:rPr>
          <w:sz w:val="24"/>
          <w:szCs w:val="24"/>
          <w:lang w:val="fr-CA"/>
        </w:rPr>
        <w:t>raison d’être</w:t>
      </w:r>
      <w:r>
        <w:rPr>
          <w:sz w:val="24"/>
          <w:szCs w:val="24"/>
          <w:lang w:val="fr-CA"/>
        </w:rPr>
        <w:t xml:space="preserve">. </w:t>
      </w:r>
      <w:r w:rsidR="00FE38CE">
        <w:rPr>
          <w:sz w:val="24"/>
          <w:szCs w:val="24"/>
          <w:lang w:val="fr-CA"/>
        </w:rPr>
        <w:t>En effet, le calcul de cette prestation minim</w:t>
      </w:r>
      <w:r w:rsidR="00545A31">
        <w:rPr>
          <w:sz w:val="24"/>
          <w:szCs w:val="24"/>
          <w:lang w:val="fr-CA"/>
        </w:rPr>
        <w:t>ale</w:t>
      </w:r>
      <w:r w:rsidR="00FE38CE">
        <w:rPr>
          <w:sz w:val="24"/>
          <w:szCs w:val="24"/>
          <w:lang w:val="fr-CA"/>
        </w:rPr>
        <w:t xml:space="preserve"> </w:t>
      </w:r>
      <w:r w:rsidR="00BE782C">
        <w:rPr>
          <w:sz w:val="24"/>
          <w:szCs w:val="24"/>
          <w:lang w:val="fr-CA"/>
        </w:rPr>
        <w:t xml:space="preserve">ne peut plus être justifié </w:t>
      </w:r>
      <w:r w:rsidR="00545A31">
        <w:rPr>
          <w:sz w:val="24"/>
          <w:szCs w:val="24"/>
          <w:lang w:val="fr-CA"/>
        </w:rPr>
        <w:t xml:space="preserve">alors que </w:t>
      </w:r>
      <w:r w:rsidR="00FE38CE">
        <w:rPr>
          <w:sz w:val="24"/>
          <w:szCs w:val="24"/>
          <w:lang w:val="fr-CA"/>
        </w:rPr>
        <w:t xml:space="preserve">toutes les autres prestations accessoires peuvent </w:t>
      </w:r>
      <w:r w:rsidR="00545A31">
        <w:rPr>
          <w:sz w:val="24"/>
          <w:szCs w:val="24"/>
          <w:lang w:val="fr-CA"/>
        </w:rPr>
        <w:t>se voir</w:t>
      </w:r>
      <w:r w:rsidR="00FE38CE">
        <w:rPr>
          <w:sz w:val="24"/>
          <w:szCs w:val="24"/>
          <w:lang w:val="fr-CA"/>
        </w:rPr>
        <w:t xml:space="preserve"> coup</w:t>
      </w:r>
      <w:r w:rsidR="0007762F" w:rsidRPr="0041050A">
        <w:rPr>
          <w:sz w:val="24"/>
          <w:szCs w:val="24"/>
          <w:lang w:val="fr-CA"/>
        </w:rPr>
        <w:t>er</w:t>
      </w:r>
      <w:r w:rsidR="00FE38CE">
        <w:rPr>
          <w:sz w:val="24"/>
          <w:szCs w:val="24"/>
          <w:lang w:val="fr-CA"/>
        </w:rPr>
        <w:t>. Le maintien de cet</w:t>
      </w:r>
      <w:r w:rsidR="00545A31">
        <w:rPr>
          <w:sz w:val="24"/>
          <w:szCs w:val="24"/>
          <w:lang w:val="fr-CA"/>
        </w:rPr>
        <w:t>te prestation n’aurait pas pour</w:t>
      </w:r>
      <w:r w:rsidR="00FE38CE">
        <w:rPr>
          <w:sz w:val="24"/>
          <w:szCs w:val="24"/>
          <w:lang w:val="fr-CA"/>
        </w:rPr>
        <w:t xml:space="preserve"> conséquence de protéger la valeur des droits des participants</w:t>
      </w:r>
      <w:r w:rsidR="00545A31">
        <w:rPr>
          <w:sz w:val="24"/>
          <w:szCs w:val="24"/>
          <w:lang w:val="fr-CA"/>
        </w:rPr>
        <w:t>,</w:t>
      </w:r>
      <w:r w:rsidR="00FE38CE">
        <w:rPr>
          <w:sz w:val="24"/>
          <w:szCs w:val="24"/>
          <w:lang w:val="fr-CA"/>
        </w:rPr>
        <w:t xml:space="preserve"> mais bien d’oblig</w:t>
      </w:r>
      <w:r w:rsidR="00414AF7">
        <w:rPr>
          <w:sz w:val="24"/>
          <w:szCs w:val="24"/>
          <w:lang w:val="fr-CA"/>
        </w:rPr>
        <w:t>er à</w:t>
      </w:r>
      <w:r w:rsidR="00FE38CE">
        <w:rPr>
          <w:sz w:val="24"/>
          <w:szCs w:val="24"/>
          <w:lang w:val="fr-CA"/>
        </w:rPr>
        <w:t xml:space="preserve"> couper davantage les prestations accessoires. La « vente » aux employés ne sera que plus difficile</w:t>
      </w:r>
      <w:r w:rsidR="00545A31">
        <w:rPr>
          <w:sz w:val="24"/>
          <w:szCs w:val="24"/>
          <w:lang w:val="fr-CA"/>
        </w:rPr>
        <w:t xml:space="preserve">. D'une part la majorité des </w:t>
      </w:r>
      <w:r w:rsidR="00FE38CE">
        <w:rPr>
          <w:sz w:val="24"/>
          <w:szCs w:val="24"/>
          <w:lang w:val="fr-CA"/>
        </w:rPr>
        <w:t>employés ne compren</w:t>
      </w:r>
      <w:r w:rsidR="00545A31">
        <w:rPr>
          <w:sz w:val="24"/>
          <w:szCs w:val="24"/>
          <w:lang w:val="fr-CA"/>
        </w:rPr>
        <w:t>d</w:t>
      </w:r>
      <w:r w:rsidR="00FE38CE">
        <w:rPr>
          <w:sz w:val="24"/>
          <w:szCs w:val="24"/>
          <w:lang w:val="fr-CA"/>
        </w:rPr>
        <w:t xml:space="preserve"> pas très bien cette </w:t>
      </w:r>
      <w:r w:rsidR="00FE38CE">
        <w:rPr>
          <w:sz w:val="24"/>
          <w:szCs w:val="24"/>
          <w:lang w:val="fr-CA"/>
        </w:rPr>
        <w:lastRenderedPageBreak/>
        <w:t xml:space="preserve">prestation. </w:t>
      </w:r>
      <w:r w:rsidR="00545A31">
        <w:rPr>
          <w:sz w:val="24"/>
          <w:szCs w:val="24"/>
          <w:lang w:val="fr-CA"/>
        </w:rPr>
        <w:t>D'autre part</w:t>
      </w:r>
      <w:r w:rsidR="00FE38CE">
        <w:rPr>
          <w:sz w:val="24"/>
          <w:szCs w:val="24"/>
          <w:lang w:val="fr-CA"/>
        </w:rPr>
        <w:t xml:space="preserve">, </w:t>
      </w:r>
      <w:r w:rsidR="00545A31">
        <w:rPr>
          <w:sz w:val="24"/>
          <w:szCs w:val="24"/>
          <w:lang w:val="fr-CA"/>
        </w:rPr>
        <w:t xml:space="preserve">ces </w:t>
      </w:r>
      <w:r w:rsidR="00FE38CE">
        <w:rPr>
          <w:sz w:val="24"/>
          <w:szCs w:val="24"/>
          <w:lang w:val="fr-CA"/>
        </w:rPr>
        <w:t xml:space="preserve">employés auront des cotisations excédentaires à la retraite et </w:t>
      </w:r>
      <w:r w:rsidR="0076464B">
        <w:rPr>
          <w:sz w:val="24"/>
          <w:szCs w:val="24"/>
          <w:lang w:val="fr-CA"/>
        </w:rPr>
        <w:t xml:space="preserve">ne seront pas en mesure d’estimer le montant de rente auquel ils auront droit comme ils </w:t>
      </w:r>
      <w:r w:rsidR="00545A31">
        <w:rPr>
          <w:sz w:val="24"/>
          <w:szCs w:val="24"/>
          <w:lang w:val="fr-CA"/>
        </w:rPr>
        <w:t xml:space="preserve">le </w:t>
      </w:r>
      <w:r w:rsidR="0076464B">
        <w:rPr>
          <w:sz w:val="24"/>
          <w:szCs w:val="24"/>
          <w:lang w:val="fr-CA"/>
        </w:rPr>
        <w:t xml:space="preserve">devraient dans un régime à prestations déterminées. Le Régime deviendrait </w:t>
      </w:r>
      <w:r w:rsidR="00545A31">
        <w:rPr>
          <w:sz w:val="24"/>
          <w:szCs w:val="24"/>
          <w:lang w:val="fr-CA"/>
        </w:rPr>
        <w:t xml:space="preserve">donc un régime hybride </w:t>
      </w:r>
      <w:r w:rsidR="0076464B">
        <w:rPr>
          <w:sz w:val="24"/>
          <w:szCs w:val="24"/>
          <w:lang w:val="fr-CA"/>
        </w:rPr>
        <w:t>: prestations déterminées</w:t>
      </w:r>
      <w:r w:rsidR="00545A31">
        <w:rPr>
          <w:sz w:val="24"/>
          <w:szCs w:val="24"/>
          <w:lang w:val="fr-CA"/>
        </w:rPr>
        <w:t xml:space="preserve"> </w:t>
      </w:r>
      <w:r w:rsidR="0076464B">
        <w:rPr>
          <w:sz w:val="24"/>
          <w:szCs w:val="24"/>
          <w:lang w:val="fr-CA"/>
        </w:rPr>
        <w:t>/</w:t>
      </w:r>
      <w:r w:rsidR="00545A31">
        <w:rPr>
          <w:sz w:val="24"/>
          <w:szCs w:val="24"/>
          <w:lang w:val="fr-CA"/>
        </w:rPr>
        <w:t xml:space="preserve"> </w:t>
      </w:r>
      <w:r w:rsidR="0076464B">
        <w:rPr>
          <w:sz w:val="24"/>
          <w:szCs w:val="24"/>
          <w:lang w:val="fr-CA"/>
        </w:rPr>
        <w:t>cotisations excédentaires.</w:t>
      </w:r>
    </w:p>
    <w:p w:rsidR="00E75F3E" w:rsidRDefault="00545A31" w:rsidP="000B1D2B">
      <w:pPr>
        <w:spacing w:line="240" w:lineRule="auto"/>
        <w:jc w:val="both"/>
        <w:rPr>
          <w:sz w:val="24"/>
          <w:szCs w:val="24"/>
          <w:lang w:val="fr-CA"/>
        </w:rPr>
      </w:pPr>
      <w:r>
        <w:rPr>
          <w:sz w:val="24"/>
          <w:szCs w:val="24"/>
          <w:lang w:val="fr-CA"/>
        </w:rPr>
        <w:t xml:space="preserve">Il </w:t>
      </w:r>
      <w:r w:rsidR="0076464B">
        <w:rPr>
          <w:sz w:val="24"/>
          <w:szCs w:val="24"/>
          <w:lang w:val="fr-CA"/>
        </w:rPr>
        <w:t xml:space="preserve">est plus facile de comprendre la mécanique des cotisations excédentaires avec un exemple. </w:t>
      </w:r>
    </w:p>
    <w:p w:rsidR="00E75F3E" w:rsidRDefault="0076464B" w:rsidP="000B1D2B">
      <w:pPr>
        <w:spacing w:line="240" w:lineRule="auto"/>
        <w:jc w:val="both"/>
        <w:rPr>
          <w:sz w:val="24"/>
          <w:szCs w:val="24"/>
          <w:lang w:val="fr-CA"/>
        </w:rPr>
      </w:pPr>
      <w:r>
        <w:rPr>
          <w:sz w:val="24"/>
          <w:szCs w:val="24"/>
          <w:lang w:val="fr-CA"/>
        </w:rPr>
        <w:t>Prenons un participant dont la valeur de la rente (rente de base et prestations accessoires) est de 100 $ et des cotisations</w:t>
      </w:r>
      <w:r w:rsidR="00DD1683">
        <w:rPr>
          <w:sz w:val="24"/>
          <w:szCs w:val="24"/>
          <w:lang w:val="fr-CA"/>
        </w:rPr>
        <w:t xml:space="preserve"> salariales de 55 $. L</w:t>
      </w:r>
      <w:r>
        <w:rPr>
          <w:sz w:val="24"/>
          <w:szCs w:val="24"/>
          <w:lang w:val="fr-CA"/>
        </w:rPr>
        <w:t xml:space="preserve">es cotisations excédentaires </w:t>
      </w:r>
      <w:r w:rsidR="00DD1683">
        <w:rPr>
          <w:sz w:val="24"/>
          <w:szCs w:val="24"/>
          <w:lang w:val="fr-CA"/>
        </w:rPr>
        <w:t xml:space="preserve">sont donc de l'ordre de </w:t>
      </w:r>
      <w:r>
        <w:rPr>
          <w:sz w:val="24"/>
          <w:szCs w:val="24"/>
          <w:lang w:val="fr-CA"/>
        </w:rPr>
        <w:t xml:space="preserve">5 $ (55 $ - 100$/2). </w:t>
      </w:r>
      <w:r w:rsidR="00E75F3E">
        <w:rPr>
          <w:sz w:val="24"/>
          <w:szCs w:val="24"/>
          <w:lang w:val="fr-CA"/>
        </w:rPr>
        <w:t>La valeur totale des droits du participant sera de 105 $ (100 $ + 5 $).</w:t>
      </w:r>
    </w:p>
    <w:p w:rsidR="00E75F3E" w:rsidRDefault="0076464B" w:rsidP="000B1D2B">
      <w:pPr>
        <w:spacing w:line="240" w:lineRule="auto"/>
        <w:jc w:val="both"/>
        <w:rPr>
          <w:sz w:val="24"/>
          <w:szCs w:val="24"/>
          <w:lang w:val="fr-CA"/>
        </w:rPr>
      </w:pPr>
      <w:r>
        <w:rPr>
          <w:sz w:val="24"/>
          <w:szCs w:val="24"/>
          <w:lang w:val="fr-CA"/>
        </w:rPr>
        <w:t xml:space="preserve">Si, pour poursuivre l’objectif de restructuration, nous réduisons la valeur de la rente de 20 %, celle-ci sera désormais de 80 $. Le calcul des cotisations excédentaires s’élèvera </w:t>
      </w:r>
      <w:r w:rsidR="00FE234F" w:rsidRPr="0041050A">
        <w:rPr>
          <w:sz w:val="24"/>
          <w:szCs w:val="24"/>
          <w:lang w:val="fr-CA"/>
        </w:rPr>
        <w:t>alors</w:t>
      </w:r>
      <w:r w:rsidR="00FE234F">
        <w:rPr>
          <w:sz w:val="24"/>
          <w:szCs w:val="24"/>
          <w:lang w:val="fr-CA"/>
        </w:rPr>
        <w:t xml:space="preserve"> </w:t>
      </w:r>
      <w:r>
        <w:rPr>
          <w:sz w:val="24"/>
          <w:szCs w:val="24"/>
          <w:lang w:val="fr-CA"/>
        </w:rPr>
        <w:t xml:space="preserve">à </w:t>
      </w:r>
      <w:r w:rsidR="00E75F3E">
        <w:rPr>
          <w:sz w:val="24"/>
          <w:szCs w:val="24"/>
          <w:lang w:val="fr-CA"/>
        </w:rPr>
        <w:t>15 $ (55 $ - 80 $/2). La valeur totale des droits du participant sera alors de 95 $ (80 $ + 15 $).</w:t>
      </w:r>
    </w:p>
    <w:p w:rsidR="00E75F3E" w:rsidRDefault="00E75F3E" w:rsidP="000B1D2B">
      <w:pPr>
        <w:spacing w:line="240" w:lineRule="auto"/>
        <w:jc w:val="both"/>
        <w:rPr>
          <w:sz w:val="24"/>
          <w:szCs w:val="24"/>
          <w:lang w:val="fr-CA"/>
        </w:rPr>
      </w:pPr>
      <w:r>
        <w:rPr>
          <w:sz w:val="24"/>
          <w:szCs w:val="24"/>
          <w:lang w:val="fr-CA"/>
        </w:rPr>
        <w:t xml:space="preserve">Par conséquent, bien que nous ayons réduit la valeur de la rente du participant de 20 %, la valeur totale des droits n’a diminué que de 9,5 % (10 $ / 105 $). Si l’objectif est de réduire la valeur totale des droits des participants de 20 %, des coupes en prestations accessoires </w:t>
      </w:r>
      <w:r w:rsidR="00FC5125">
        <w:rPr>
          <w:sz w:val="24"/>
          <w:szCs w:val="24"/>
          <w:lang w:val="fr-CA"/>
        </w:rPr>
        <w:t>égales au</w:t>
      </w:r>
      <w:r>
        <w:rPr>
          <w:sz w:val="24"/>
          <w:szCs w:val="24"/>
          <w:lang w:val="fr-CA"/>
        </w:rPr>
        <w:t xml:space="preserve"> double de celles requises </w:t>
      </w:r>
      <w:r w:rsidR="00FC5125">
        <w:rPr>
          <w:sz w:val="24"/>
          <w:szCs w:val="24"/>
          <w:lang w:val="fr-CA"/>
        </w:rPr>
        <w:t xml:space="preserve">en omettant </w:t>
      </w:r>
      <w:r>
        <w:rPr>
          <w:sz w:val="24"/>
          <w:szCs w:val="24"/>
          <w:lang w:val="fr-CA"/>
        </w:rPr>
        <w:t xml:space="preserve">le calcul des cotisations excédentaires seraient </w:t>
      </w:r>
      <w:r w:rsidR="00FC5F2C">
        <w:rPr>
          <w:sz w:val="24"/>
          <w:szCs w:val="24"/>
          <w:lang w:val="fr-CA"/>
        </w:rPr>
        <w:t xml:space="preserve">alors </w:t>
      </w:r>
      <w:r>
        <w:rPr>
          <w:sz w:val="24"/>
          <w:szCs w:val="24"/>
          <w:lang w:val="fr-CA"/>
        </w:rPr>
        <w:t>nécessaires</w:t>
      </w:r>
      <w:r w:rsidR="00DD1683">
        <w:rPr>
          <w:sz w:val="24"/>
          <w:szCs w:val="24"/>
          <w:lang w:val="fr-CA"/>
        </w:rPr>
        <w:t xml:space="preserve"> tel que démontré dans cet </w:t>
      </w:r>
      <w:r w:rsidR="00FC5F2C">
        <w:rPr>
          <w:sz w:val="24"/>
          <w:szCs w:val="24"/>
          <w:lang w:val="fr-CA"/>
        </w:rPr>
        <w:t>exemple</w:t>
      </w:r>
      <w:r>
        <w:rPr>
          <w:sz w:val="24"/>
          <w:szCs w:val="24"/>
          <w:lang w:val="fr-CA"/>
        </w:rPr>
        <w:t>.</w:t>
      </w:r>
    </w:p>
    <w:p w:rsidR="00BD7DEA" w:rsidRDefault="00BD7DEA" w:rsidP="00BD7DEA">
      <w:pPr>
        <w:spacing w:line="240" w:lineRule="auto"/>
        <w:ind w:firstLine="720"/>
        <w:rPr>
          <w:b/>
          <w:i/>
          <w:iCs/>
          <w:sz w:val="24"/>
          <w:szCs w:val="24"/>
          <w:lang w:val="fr-CA"/>
        </w:rPr>
      </w:pPr>
    </w:p>
    <w:p w:rsidR="006F13BB" w:rsidRPr="0067033B" w:rsidRDefault="00030426" w:rsidP="00BD7DEA">
      <w:pPr>
        <w:spacing w:line="240" w:lineRule="auto"/>
        <w:ind w:firstLine="720"/>
        <w:rPr>
          <w:b/>
          <w:i/>
          <w:iCs/>
          <w:sz w:val="24"/>
          <w:szCs w:val="24"/>
          <w:lang w:val="fr-CA"/>
        </w:rPr>
      </w:pPr>
      <w:r>
        <w:rPr>
          <w:b/>
          <w:i/>
          <w:iCs/>
          <w:sz w:val="24"/>
          <w:szCs w:val="24"/>
          <w:lang w:val="fr-CA"/>
        </w:rPr>
        <w:t>Propositions</w:t>
      </w:r>
    </w:p>
    <w:p w:rsidR="00BA1E4B" w:rsidRDefault="00BC1EF8" w:rsidP="00455FC3">
      <w:pPr>
        <w:spacing w:line="240" w:lineRule="auto"/>
        <w:jc w:val="both"/>
        <w:rPr>
          <w:sz w:val="24"/>
          <w:szCs w:val="24"/>
          <w:lang w:val="fr-CA"/>
        </w:rPr>
      </w:pPr>
      <w:r w:rsidRPr="0041050A">
        <w:rPr>
          <w:sz w:val="24"/>
          <w:szCs w:val="24"/>
          <w:lang w:val="fr-CA"/>
        </w:rPr>
        <w:t>Pour le service passé,</w:t>
      </w:r>
      <w:r>
        <w:rPr>
          <w:sz w:val="24"/>
          <w:szCs w:val="24"/>
          <w:lang w:val="fr-CA"/>
        </w:rPr>
        <w:t xml:space="preserve"> n</w:t>
      </w:r>
      <w:r w:rsidR="006F13BB" w:rsidRPr="004273CE">
        <w:rPr>
          <w:sz w:val="24"/>
          <w:szCs w:val="24"/>
          <w:lang w:val="fr-CA"/>
        </w:rPr>
        <w:t>o</w:t>
      </w:r>
      <w:r w:rsidR="00030426">
        <w:rPr>
          <w:sz w:val="24"/>
          <w:szCs w:val="24"/>
          <w:lang w:val="fr-CA"/>
        </w:rPr>
        <w:t xml:space="preserve">us proposons </w:t>
      </w:r>
      <w:r w:rsidR="006F13BB">
        <w:rPr>
          <w:sz w:val="24"/>
          <w:szCs w:val="24"/>
          <w:lang w:val="fr-CA"/>
        </w:rPr>
        <w:t>d’éliminer la règle des cotisations excédentaires et d</w:t>
      </w:r>
      <w:r w:rsidR="00BA1E4B">
        <w:rPr>
          <w:sz w:val="24"/>
          <w:szCs w:val="24"/>
          <w:lang w:val="fr-CA"/>
        </w:rPr>
        <w:t>e la remplacer par</w:t>
      </w:r>
      <w:r w:rsidR="006F13BB">
        <w:rPr>
          <w:sz w:val="24"/>
          <w:szCs w:val="24"/>
          <w:lang w:val="fr-CA"/>
        </w:rPr>
        <w:t xml:space="preserve"> la notion du droit minimum égal à 100 % des cotisations salariales. </w:t>
      </w:r>
    </w:p>
    <w:p w:rsidR="006F13BB" w:rsidRDefault="006F13BB" w:rsidP="000B1D2B">
      <w:pPr>
        <w:spacing w:line="240" w:lineRule="auto"/>
        <w:jc w:val="both"/>
        <w:rPr>
          <w:sz w:val="24"/>
          <w:szCs w:val="24"/>
          <w:lang w:val="fr-CA"/>
        </w:rPr>
      </w:pPr>
      <w:r>
        <w:rPr>
          <w:sz w:val="24"/>
          <w:szCs w:val="24"/>
          <w:lang w:val="fr-CA"/>
        </w:rPr>
        <w:t>De plus, dans le contexte d’un partage du coût du régime à 50</w:t>
      </w:r>
      <w:r w:rsidR="00FC5125">
        <w:rPr>
          <w:sz w:val="24"/>
          <w:szCs w:val="24"/>
          <w:lang w:val="fr-CA"/>
        </w:rPr>
        <w:t xml:space="preserve"> </w:t>
      </w:r>
      <w:r>
        <w:rPr>
          <w:sz w:val="24"/>
          <w:szCs w:val="24"/>
          <w:lang w:val="fr-CA"/>
        </w:rPr>
        <w:t>/</w:t>
      </w:r>
      <w:r w:rsidR="00FC5125">
        <w:rPr>
          <w:sz w:val="24"/>
          <w:szCs w:val="24"/>
          <w:lang w:val="fr-CA"/>
        </w:rPr>
        <w:t xml:space="preserve"> </w:t>
      </w:r>
      <w:r>
        <w:rPr>
          <w:sz w:val="24"/>
          <w:szCs w:val="24"/>
          <w:lang w:val="fr-CA"/>
        </w:rPr>
        <w:t>50 (ou 45</w:t>
      </w:r>
      <w:r w:rsidR="00FC5125">
        <w:rPr>
          <w:sz w:val="24"/>
          <w:szCs w:val="24"/>
          <w:lang w:val="fr-CA"/>
        </w:rPr>
        <w:t xml:space="preserve"> </w:t>
      </w:r>
      <w:r>
        <w:rPr>
          <w:sz w:val="24"/>
          <w:szCs w:val="24"/>
          <w:lang w:val="fr-CA"/>
        </w:rPr>
        <w:t>/</w:t>
      </w:r>
      <w:r w:rsidR="00FC5125">
        <w:rPr>
          <w:sz w:val="24"/>
          <w:szCs w:val="24"/>
          <w:lang w:val="fr-CA"/>
        </w:rPr>
        <w:t xml:space="preserve"> </w:t>
      </w:r>
      <w:r>
        <w:rPr>
          <w:sz w:val="24"/>
          <w:szCs w:val="24"/>
          <w:lang w:val="fr-CA"/>
        </w:rPr>
        <w:t>55 dans certains cas), nous croyons que l</w:t>
      </w:r>
      <w:r w:rsidR="00FC5125">
        <w:rPr>
          <w:sz w:val="24"/>
          <w:szCs w:val="24"/>
          <w:lang w:val="fr-CA"/>
        </w:rPr>
        <w:t>e calcul des cotisation</w:t>
      </w:r>
      <w:r w:rsidR="00BC1EF8" w:rsidRPr="0041050A">
        <w:rPr>
          <w:sz w:val="24"/>
          <w:szCs w:val="24"/>
          <w:lang w:val="fr-CA"/>
        </w:rPr>
        <w:t>s</w:t>
      </w:r>
      <w:r w:rsidR="00FC5125">
        <w:rPr>
          <w:sz w:val="24"/>
          <w:szCs w:val="24"/>
          <w:lang w:val="fr-CA"/>
        </w:rPr>
        <w:t xml:space="preserve"> excédentaire</w:t>
      </w:r>
      <w:r w:rsidR="00BC1EF8" w:rsidRPr="0041050A">
        <w:rPr>
          <w:sz w:val="24"/>
          <w:szCs w:val="24"/>
          <w:lang w:val="fr-CA"/>
        </w:rPr>
        <w:t>s</w:t>
      </w:r>
      <w:r w:rsidR="00FC5125">
        <w:rPr>
          <w:sz w:val="24"/>
          <w:szCs w:val="24"/>
          <w:lang w:val="fr-CA"/>
        </w:rPr>
        <w:t xml:space="preserve"> (</w:t>
      </w:r>
      <w:r>
        <w:rPr>
          <w:sz w:val="24"/>
          <w:szCs w:val="24"/>
          <w:lang w:val="fr-CA"/>
        </w:rPr>
        <w:t>règle du 50 %</w:t>
      </w:r>
      <w:r w:rsidR="00FC5125">
        <w:rPr>
          <w:sz w:val="24"/>
          <w:szCs w:val="24"/>
          <w:lang w:val="fr-CA"/>
        </w:rPr>
        <w:t>)</w:t>
      </w:r>
      <w:r>
        <w:rPr>
          <w:sz w:val="24"/>
          <w:szCs w:val="24"/>
          <w:lang w:val="fr-CA"/>
        </w:rPr>
        <w:t xml:space="preserve"> devrait également être aboli pour les services dans le nouveau volet. </w:t>
      </w:r>
      <w:r w:rsidR="0041050A">
        <w:rPr>
          <w:sz w:val="24"/>
          <w:szCs w:val="24"/>
          <w:lang w:val="fr-CA"/>
        </w:rPr>
        <w:t xml:space="preserve">Il nous semble excessif d’établir que </w:t>
      </w:r>
      <w:r w:rsidR="00BA1E4B">
        <w:rPr>
          <w:sz w:val="24"/>
          <w:szCs w:val="24"/>
          <w:lang w:val="fr-CA"/>
        </w:rPr>
        <w:t>la rente ne pourra être financée à plus de 50 % par les cotisations des employés alors que ceux-ci cotisent déjà à peu près 50 %. Ceci ne ferait qu’augmenter le coût de Régime.</w:t>
      </w:r>
    </w:p>
    <w:p w:rsidR="006F13BB" w:rsidRDefault="006F13BB" w:rsidP="000B1D2B">
      <w:pPr>
        <w:spacing w:line="240" w:lineRule="auto"/>
        <w:rPr>
          <w:sz w:val="24"/>
          <w:szCs w:val="24"/>
          <w:lang w:val="fr-CA"/>
        </w:rPr>
      </w:pPr>
    </w:p>
    <w:p w:rsidR="00152088" w:rsidRPr="00152088" w:rsidRDefault="00455FC3" w:rsidP="00455FC3">
      <w:pPr>
        <w:spacing w:line="240" w:lineRule="auto"/>
        <w:ind w:left="720"/>
        <w:rPr>
          <w:b/>
          <w:sz w:val="24"/>
          <w:szCs w:val="24"/>
          <w:lang w:val="fr-CA"/>
        </w:rPr>
      </w:pPr>
      <w:r>
        <w:rPr>
          <w:b/>
          <w:sz w:val="24"/>
          <w:szCs w:val="24"/>
          <w:lang w:val="fr-CA"/>
        </w:rPr>
        <w:t>3.3</w:t>
      </w:r>
      <w:r w:rsidR="00152088" w:rsidRPr="00152088">
        <w:rPr>
          <w:b/>
          <w:sz w:val="24"/>
          <w:szCs w:val="24"/>
          <w:lang w:val="fr-CA"/>
        </w:rPr>
        <w:t>) Cotisations d’équilibre depuis le 1</w:t>
      </w:r>
      <w:r w:rsidR="00530159" w:rsidRPr="00530159">
        <w:rPr>
          <w:b/>
          <w:sz w:val="24"/>
          <w:szCs w:val="24"/>
          <w:vertAlign w:val="superscript"/>
          <w:lang w:val="fr-CA"/>
        </w:rPr>
        <w:t>er</w:t>
      </w:r>
      <w:r w:rsidR="00530159">
        <w:rPr>
          <w:b/>
          <w:sz w:val="24"/>
          <w:szCs w:val="24"/>
          <w:lang w:val="fr-CA"/>
        </w:rPr>
        <w:t xml:space="preserve"> </w:t>
      </w:r>
      <w:r>
        <w:rPr>
          <w:b/>
          <w:sz w:val="24"/>
          <w:szCs w:val="24"/>
          <w:lang w:val="fr-CA"/>
        </w:rPr>
        <w:t>Janvier 2015</w:t>
      </w:r>
    </w:p>
    <w:p w:rsidR="00972A37" w:rsidRDefault="00217060" w:rsidP="00455FC3">
      <w:pPr>
        <w:spacing w:line="240" w:lineRule="auto"/>
        <w:ind w:firstLine="720"/>
        <w:jc w:val="both"/>
        <w:rPr>
          <w:sz w:val="24"/>
          <w:szCs w:val="24"/>
          <w:lang w:val="fr-CA"/>
        </w:rPr>
      </w:pPr>
      <w:r>
        <w:rPr>
          <w:sz w:val="24"/>
          <w:szCs w:val="24"/>
          <w:lang w:val="fr-CA"/>
        </w:rPr>
        <w:t>L</w:t>
      </w:r>
      <w:r w:rsidR="00FC5125">
        <w:rPr>
          <w:sz w:val="24"/>
          <w:szCs w:val="24"/>
          <w:lang w:val="fr-CA"/>
        </w:rPr>
        <w:t xml:space="preserve">e PL75 prévoit la mise en place de la restructuration en date du </w:t>
      </w:r>
      <w:r w:rsidR="00DD1683">
        <w:rPr>
          <w:sz w:val="24"/>
          <w:szCs w:val="24"/>
          <w:lang w:val="fr-CA"/>
        </w:rPr>
        <w:t>3</w:t>
      </w:r>
      <w:r w:rsidR="00882BA8">
        <w:rPr>
          <w:sz w:val="24"/>
          <w:szCs w:val="24"/>
          <w:lang w:val="fr-CA"/>
        </w:rPr>
        <w:t>1 décembre 2014. Par conséquent</w:t>
      </w:r>
      <w:r>
        <w:rPr>
          <w:sz w:val="24"/>
          <w:szCs w:val="24"/>
          <w:lang w:val="fr-CA"/>
        </w:rPr>
        <w:t>, le service au nouveau volet débutera le 1</w:t>
      </w:r>
      <w:r w:rsidRPr="00217060">
        <w:rPr>
          <w:sz w:val="24"/>
          <w:szCs w:val="24"/>
          <w:vertAlign w:val="superscript"/>
          <w:lang w:val="fr-CA"/>
        </w:rPr>
        <w:t>er</w:t>
      </w:r>
      <w:r>
        <w:rPr>
          <w:sz w:val="24"/>
          <w:szCs w:val="24"/>
          <w:lang w:val="fr-CA"/>
        </w:rPr>
        <w:t xml:space="preserve"> janvier 2015. Il est possible que les parties s’entendent pour éliminer complètement le déficit au 31 décembre 2014. </w:t>
      </w:r>
      <w:r w:rsidR="00152088">
        <w:rPr>
          <w:sz w:val="24"/>
          <w:szCs w:val="24"/>
          <w:lang w:val="fr-CA"/>
        </w:rPr>
        <w:t>Depuis le 1</w:t>
      </w:r>
      <w:r w:rsidR="00152088" w:rsidRPr="00152088">
        <w:rPr>
          <w:sz w:val="24"/>
          <w:szCs w:val="24"/>
          <w:vertAlign w:val="superscript"/>
          <w:lang w:val="fr-CA"/>
        </w:rPr>
        <w:t>er</w:t>
      </w:r>
      <w:r w:rsidR="0059085A">
        <w:rPr>
          <w:sz w:val="24"/>
          <w:szCs w:val="24"/>
          <w:lang w:val="fr-CA"/>
        </w:rPr>
        <w:t xml:space="preserve"> janvier 2015, une cotisation d’équilibre est versée à la caisse de retraite pour couvrir le déficit actuariel</w:t>
      </w:r>
      <w:r>
        <w:rPr>
          <w:sz w:val="24"/>
          <w:szCs w:val="24"/>
          <w:lang w:val="fr-CA"/>
        </w:rPr>
        <w:t xml:space="preserve"> au 31 décembre 2014</w:t>
      </w:r>
      <w:r w:rsidR="0059085A">
        <w:rPr>
          <w:sz w:val="24"/>
          <w:szCs w:val="24"/>
          <w:lang w:val="fr-CA"/>
        </w:rPr>
        <w:t xml:space="preserve">. </w:t>
      </w:r>
      <w:r w:rsidR="00DD1683">
        <w:rPr>
          <w:sz w:val="24"/>
          <w:szCs w:val="24"/>
          <w:lang w:val="fr-CA"/>
        </w:rPr>
        <w:t>A</w:t>
      </w:r>
      <w:r w:rsidR="00007529">
        <w:rPr>
          <w:sz w:val="24"/>
          <w:szCs w:val="24"/>
          <w:lang w:val="fr-CA"/>
        </w:rPr>
        <w:t>fin</w:t>
      </w:r>
      <w:r w:rsidR="0059085A">
        <w:rPr>
          <w:sz w:val="24"/>
          <w:szCs w:val="24"/>
          <w:lang w:val="fr-CA"/>
        </w:rPr>
        <w:t xml:space="preserve"> </w:t>
      </w:r>
      <w:r w:rsidR="00007529">
        <w:rPr>
          <w:sz w:val="24"/>
          <w:szCs w:val="24"/>
          <w:lang w:val="fr-CA"/>
        </w:rPr>
        <w:t>d’</w:t>
      </w:r>
      <w:r w:rsidR="0059085A">
        <w:rPr>
          <w:sz w:val="24"/>
          <w:szCs w:val="24"/>
          <w:lang w:val="fr-CA"/>
        </w:rPr>
        <w:t>éviter d’augmenter la cotisation salariale au-delà d’un certain seuil</w:t>
      </w:r>
      <w:r w:rsidR="00007529">
        <w:rPr>
          <w:sz w:val="24"/>
          <w:szCs w:val="24"/>
          <w:lang w:val="fr-CA"/>
        </w:rPr>
        <w:t xml:space="preserve"> et aussi pour contourner les coûts additionnels reliés aux cotisations excédentaires</w:t>
      </w:r>
      <w:r w:rsidR="0059085A">
        <w:rPr>
          <w:sz w:val="24"/>
          <w:szCs w:val="24"/>
          <w:lang w:val="fr-CA"/>
        </w:rPr>
        <w:t xml:space="preserve">, </w:t>
      </w:r>
      <w:r w:rsidR="00DD1683">
        <w:rPr>
          <w:sz w:val="24"/>
          <w:szCs w:val="24"/>
          <w:lang w:val="fr-CA"/>
        </w:rPr>
        <w:t>les employés se sont entendu</w:t>
      </w:r>
      <w:r w:rsidR="00FE234F">
        <w:rPr>
          <w:sz w:val="24"/>
          <w:szCs w:val="24"/>
          <w:lang w:val="fr-CA"/>
        </w:rPr>
        <w:t>s</w:t>
      </w:r>
      <w:r w:rsidR="00DD1683">
        <w:rPr>
          <w:sz w:val="24"/>
          <w:szCs w:val="24"/>
          <w:lang w:val="fr-CA"/>
        </w:rPr>
        <w:t xml:space="preserve"> avec l'université </w:t>
      </w:r>
      <w:r w:rsidR="00882BA8">
        <w:rPr>
          <w:sz w:val="24"/>
          <w:szCs w:val="24"/>
          <w:lang w:val="fr-CA"/>
        </w:rPr>
        <w:t>pour</w:t>
      </w:r>
      <w:r w:rsidR="00DD1683">
        <w:rPr>
          <w:sz w:val="24"/>
          <w:szCs w:val="24"/>
          <w:lang w:val="fr-CA"/>
        </w:rPr>
        <w:t xml:space="preserve"> </w:t>
      </w:r>
      <w:r w:rsidR="00ED1A8B">
        <w:rPr>
          <w:sz w:val="24"/>
          <w:szCs w:val="24"/>
          <w:lang w:val="fr-CA"/>
        </w:rPr>
        <w:t>réduire les salaires</w:t>
      </w:r>
      <w:r w:rsidR="00882BA8">
        <w:rPr>
          <w:sz w:val="24"/>
          <w:szCs w:val="24"/>
          <w:lang w:val="fr-CA"/>
        </w:rPr>
        <w:t xml:space="preserve"> afin de</w:t>
      </w:r>
      <w:r w:rsidR="0091313F">
        <w:rPr>
          <w:sz w:val="24"/>
          <w:szCs w:val="24"/>
          <w:lang w:val="fr-CA"/>
        </w:rPr>
        <w:t xml:space="preserve"> payer une part du </w:t>
      </w:r>
      <w:r w:rsidR="00972A37">
        <w:rPr>
          <w:sz w:val="24"/>
          <w:szCs w:val="24"/>
          <w:lang w:val="fr-CA"/>
        </w:rPr>
        <w:t>déficit</w:t>
      </w:r>
      <w:r w:rsidR="0091313F">
        <w:rPr>
          <w:sz w:val="24"/>
          <w:szCs w:val="24"/>
          <w:lang w:val="fr-CA"/>
        </w:rPr>
        <w:t xml:space="preserve"> qui leur est imputé</w:t>
      </w:r>
      <w:r w:rsidR="00ED1A8B">
        <w:rPr>
          <w:sz w:val="24"/>
          <w:szCs w:val="24"/>
          <w:lang w:val="fr-CA"/>
        </w:rPr>
        <w:t xml:space="preserve">. </w:t>
      </w:r>
    </w:p>
    <w:p w:rsidR="002D5C8A" w:rsidRPr="0067033B" w:rsidRDefault="00972A37" w:rsidP="000B1D2B">
      <w:pPr>
        <w:spacing w:line="240" w:lineRule="auto"/>
        <w:jc w:val="both"/>
        <w:rPr>
          <w:sz w:val="24"/>
          <w:szCs w:val="24"/>
          <w:lang w:val="fr-CA"/>
        </w:rPr>
      </w:pPr>
      <w:r>
        <w:rPr>
          <w:sz w:val="24"/>
          <w:szCs w:val="24"/>
          <w:lang w:val="fr-CA"/>
        </w:rPr>
        <w:lastRenderedPageBreak/>
        <w:t>Le PL75 stipule à l’article 73 que « Les cotisations versées au régime de retraite par l’employeur et les participants actifs établies</w:t>
      </w:r>
      <w:r w:rsidR="00B44FA4">
        <w:rPr>
          <w:sz w:val="24"/>
          <w:szCs w:val="24"/>
          <w:lang w:val="fr-CA"/>
        </w:rPr>
        <w:t xml:space="preserve"> dans l’évaluation actuarielle visée à l’article 4 sont réputées valablement versées malgré les mesures de restructuration du régime de retraite qui s’appliquent à compter du 1</w:t>
      </w:r>
      <w:r w:rsidR="00B44FA4" w:rsidRPr="00B44FA4">
        <w:rPr>
          <w:sz w:val="24"/>
          <w:szCs w:val="24"/>
          <w:vertAlign w:val="superscript"/>
          <w:lang w:val="fr-CA"/>
        </w:rPr>
        <w:t>er</w:t>
      </w:r>
      <w:r w:rsidR="00882BA8">
        <w:rPr>
          <w:sz w:val="24"/>
          <w:szCs w:val="24"/>
          <w:lang w:val="fr-CA"/>
        </w:rPr>
        <w:t xml:space="preserve"> janvier 2015</w:t>
      </w:r>
      <w:r w:rsidR="00B44FA4">
        <w:rPr>
          <w:sz w:val="24"/>
          <w:szCs w:val="24"/>
          <w:lang w:val="fr-CA"/>
        </w:rPr>
        <w:t xml:space="preserve">». Nous ne </w:t>
      </w:r>
      <w:r w:rsidR="00882BA8">
        <w:rPr>
          <w:sz w:val="24"/>
          <w:szCs w:val="24"/>
          <w:lang w:val="fr-CA"/>
        </w:rPr>
        <w:t xml:space="preserve">saisissons </w:t>
      </w:r>
      <w:r w:rsidR="00B44FA4">
        <w:rPr>
          <w:sz w:val="24"/>
          <w:szCs w:val="24"/>
          <w:lang w:val="fr-CA"/>
        </w:rPr>
        <w:t xml:space="preserve">pas très bien la portée de cet article et </w:t>
      </w:r>
      <w:r w:rsidR="00882BA8">
        <w:rPr>
          <w:sz w:val="24"/>
          <w:szCs w:val="24"/>
          <w:lang w:val="fr-CA"/>
        </w:rPr>
        <w:t xml:space="preserve">l'impact de ce dernier </w:t>
      </w:r>
      <w:r w:rsidR="005B5843">
        <w:rPr>
          <w:sz w:val="24"/>
          <w:szCs w:val="24"/>
          <w:lang w:val="fr-CA"/>
        </w:rPr>
        <w:t>sur les</w:t>
      </w:r>
      <w:r w:rsidR="00B44FA4">
        <w:rPr>
          <w:sz w:val="24"/>
          <w:szCs w:val="24"/>
          <w:lang w:val="fr-CA"/>
        </w:rPr>
        <w:t xml:space="preserve"> cotisations exigibles à compter du 1</w:t>
      </w:r>
      <w:r w:rsidR="00B44FA4" w:rsidRPr="00B44FA4">
        <w:rPr>
          <w:sz w:val="24"/>
          <w:szCs w:val="24"/>
          <w:vertAlign w:val="superscript"/>
          <w:lang w:val="fr-CA"/>
        </w:rPr>
        <w:t>er</w:t>
      </w:r>
      <w:r w:rsidR="00B44FA4">
        <w:rPr>
          <w:sz w:val="24"/>
          <w:szCs w:val="24"/>
          <w:lang w:val="fr-CA"/>
        </w:rPr>
        <w:t xml:space="preserve"> janvier 2015.</w:t>
      </w:r>
    </w:p>
    <w:p w:rsidR="009D5E1F" w:rsidRDefault="009D5E1F" w:rsidP="000B1D2B">
      <w:pPr>
        <w:spacing w:line="240" w:lineRule="auto"/>
        <w:rPr>
          <w:b/>
          <w:i/>
          <w:iCs/>
          <w:sz w:val="24"/>
          <w:szCs w:val="24"/>
          <w:lang w:val="fr-CA"/>
        </w:rPr>
      </w:pPr>
    </w:p>
    <w:p w:rsidR="004273CE" w:rsidRPr="0067033B" w:rsidRDefault="00030426" w:rsidP="00455FC3">
      <w:pPr>
        <w:spacing w:line="240" w:lineRule="auto"/>
        <w:ind w:firstLine="720"/>
        <w:rPr>
          <w:b/>
          <w:i/>
          <w:iCs/>
          <w:sz w:val="24"/>
          <w:szCs w:val="24"/>
          <w:lang w:val="fr-CA"/>
        </w:rPr>
      </w:pPr>
      <w:r>
        <w:rPr>
          <w:b/>
          <w:i/>
          <w:iCs/>
          <w:sz w:val="24"/>
          <w:szCs w:val="24"/>
          <w:lang w:val="fr-CA"/>
        </w:rPr>
        <w:t>Propositions</w:t>
      </w:r>
    </w:p>
    <w:p w:rsidR="00FE234F" w:rsidRDefault="00882BA8" w:rsidP="000B1D2B">
      <w:pPr>
        <w:spacing w:line="240" w:lineRule="auto"/>
        <w:jc w:val="both"/>
        <w:rPr>
          <w:sz w:val="24"/>
          <w:szCs w:val="24"/>
          <w:lang w:val="fr-CA"/>
        </w:rPr>
      </w:pPr>
      <w:r>
        <w:rPr>
          <w:sz w:val="24"/>
          <w:szCs w:val="24"/>
          <w:lang w:val="fr-CA"/>
        </w:rPr>
        <w:t xml:space="preserve">Nous </w:t>
      </w:r>
      <w:r w:rsidR="00030426">
        <w:rPr>
          <w:sz w:val="24"/>
          <w:szCs w:val="24"/>
          <w:lang w:val="fr-CA"/>
        </w:rPr>
        <w:t xml:space="preserve">proposons </w:t>
      </w:r>
      <w:r>
        <w:rPr>
          <w:sz w:val="24"/>
          <w:szCs w:val="24"/>
          <w:lang w:val="fr-CA"/>
        </w:rPr>
        <w:t xml:space="preserve">d'encadrer </w:t>
      </w:r>
      <w:r w:rsidR="004273CE">
        <w:rPr>
          <w:sz w:val="24"/>
          <w:szCs w:val="24"/>
          <w:lang w:val="fr-CA"/>
        </w:rPr>
        <w:t>clairement l</w:t>
      </w:r>
      <w:r w:rsidR="00B44FA4">
        <w:rPr>
          <w:sz w:val="24"/>
          <w:szCs w:val="24"/>
          <w:lang w:val="fr-CA"/>
        </w:rPr>
        <w:t xml:space="preserve">es </w:t>
      </w:r>
      <w:r w:rsidR="004273CE">
        <w:rPr>
          <w:sz w:val="24"/>
          <w:szCs w:val="24"/>
          <w:lang w:val="fr-CA"/>
        </w:rPr>
        <w:t xml:space="preserve">cotisations exigibles et </w:t>
      </w:r>
      <w:r w:rsidR="00B44FA4">
        <w:rPr>
          <w:sz w:val="24"/>
          <w:szCs w:val="24"/>
          <w:lang w:val="fr-CA"/>
        </w:rPr>
        <w:t xml:space="preserve">de </w:t>
      </w:r>
      <w:r>
        <w:rPr>
          <w:sz w:val="24"/>
          <w:szCs w:val="24"/>
          <w:lang w:val="fr-CA"/>
        </w:rPr>
        <w:t xml:space="preserve">garder à l'esprit </w:t>
      </w:r>
      <w:r w:rsidR="00B44FA4">
        <w:rPr>
          <w:sz w:val="24"/>
          <w:szCs w:val="24"/>
          <w:lang w:val="fr-CA"/>
        </w:rPr>
        <w:t xml:space="preserve">que certaines de ces cotisations ont </w:t>
      </w:r>
      <w:r>
        <w:rPr>
          <w:sz w:val="24"/>
          <w:szCs w:val="24"/>
          <w:lang w:val="fr-CA"/>
        </w:rPr>
        <w:t xml:space="preserve">été </w:t>
      </w:r>
      <w:r w:rsidR="00B44FA4">
        <w:rPr>
          <w:sz w:val="24"/>
          <w:szCs w:val="24"/>
          <w:lang w:val="fr-CA"/>
        </w:rPr>
        <w:t xml:space="preserve">versées </w:t>
      </w:r>
      <w:r>
        <w:rPr>
          <w:sz w:val="24"/>
          <w:szCs w:val="24"/>
          <w:lang w:val="fr-CA"/>
        </w:rPr>
        <w:t>sous forme de</w:t>
      </w:r>
      <w:r w:rsidR="00B44FA4">
        <w:rPr>
          <w:sz w:val="24"/>
          <w:szCs w:val="24"/>
          <w:lang w:val="fr-CA"/>
        </w:rPr>
        <w:t xml:space="preserve"> réductions salariales. </w:t>
      </w:r>
      <w:r>
        <w:rPr>
          <w:sz w:val="24"/>
          <w:szCs w:val="24"/>
          <w:lang w:val="fr-CA"/>
        </w:rPr>
        <w:t>Les salaires réduits et/ou l</w:t>
      </w:r>
      <w:r w:rsidR="00B44FA4">
        <w:rPr>
          <w:sz w:val="24"/>
          <w:szCs w:val="24"/>
          <w:lang w:val="fr-CA"/>
        </w:rPr>
        <w:t xml:space="preserve">es cotisations versées en trop </w:t>
      </w:r>
      <w:r w:rsidR="00414AF7">
        <w:rPr>
          <w:sz w:val="24"/>
          <w:szCs w:val="24"/>
          <w:lang w:val="fr-CA"/>
        </w:rPr>
        <w:t>devraient être remboursé</w:t>
      </w:r>
      <w:r w:rsidR="00B44FA4">
        <w:rPr>
          <w:sz w:val="24"/>
          <w:szCs w:val="24"/>
          <w:lang w:val="fr-CA"/>
        </w:rPr>
        <w:t xml:space="preserve">s aux parties. </w:t>
      </w:r>
    </w:p>
    <w:p w:rsidR="000B1D2B" w:rsidRPr="0041050A" w:rsidRDefault="00BC1EF8" w:rsidP="000B1D2B">
      <w:pPr>
        <w:spacing w:line="240" w:lineRule="auto"/>
        <w:jc w:val="both"/>
        <w:rPr>
          <w:sz w:val="24"/>
          <w:szCs w:val="24"/>
          <w:lang w:val="fr-CA"/>
        </w:rPr>
      </w:pPr>
      <w:r w:rsidRPr="0041050A">
        <w:rPr>
          <w:sz w:val="24"/>
          <w:szCs w:val="24"/>
          <w:lang w:val="fr-CA"/>
        </w:rPr>
        <w:t>Par contre, pour</w:t>
      </w:r>
      <w:r w:rsidR="00596EF8">
        <w:rPr>
          <w:sz w:val="24"/>
          <w:szCs w:val="24"/>
          <w:lang w:val="fr-CA"/>
        </w:rPr>
        <w:t xml:space="preserve"> les</w:t>
      </w:r>
      <w:r w:rsidRPr="0041050A">
        <w:rPr>
          <w:sz w:val="24"/>
          <w:szCs w:val="24"/>
          <w:lang w:val="fr-CA"/>
        </w:rPr>
        <w:t xml:space="preserve"> participants qui seron</w:t>
      </w:r>
      <w:r w:rsidR="00A779AD">
        <w:rPr>
          <w:sz w:val="24"/>
          <w:szCs w:val="24"/>
          <w:lang w:val="fr-CA"/>
        </w:rPr>
        <w:t>t considérés comme retraités au regard</w:t>
      </w:r>
      <w:r w:rsidRPr="0041050A">
        <w:rPr>
          <w:sz w:val="24"/>
          <w:szCs w:val="24"/>
          <w:lang w:val="fr-CA"/>
        </w:rPr>
        <w:t xml:space="preserve"> </w:t>
      </w:r>
      <w:r w:rsidR="00A779AD">
        <w:rPr>
          <w:sz w:val="24"/>
          <w:szCs w:val="24"/>
          <w:lang w:val="fr-CA"/>
        </w:rPr>
        <w:t>de la L</w:t>
      </w:r>
      <w:r w:rsidRPr="0041050A">
        <w:rPr>
          <w:sz w:val="24"/>
          <w:szCs w:val="24"/>
          <w:lang w:val="fr-CA"/>
        </w:rPr>
        <w:t>oi</w:t>
      </w:r>
      <w:r w:rsidR="00A779AD">
        <w:rPr>
          <w:sz w:val="24"/>
          <w:szCs w:val="24"/>
          <w:lang w:val="fr-CA"/>
        </w:rPr>
        <w:t xml:space="preserve">, </w:t>
      </w:r>
      <w:r w:rsidR="00076D2A" w:rsidRPr="0041050A">
        <w:rPr>
          <w:sz w:val="24"/>
          <w:szCs w:val="24"/>
          <w:lang w:val="fr-CA"/>
        </w:rPr>
        <w:t xml:space="preserve"> malgré une retraite après le 31 décembre 2014</w:t>
      </w:r>
      <w:r w:rsidRPr="0041050A">
        <w:rPr>
          <w:sz w:val="24"/>
          <w:szCs w:val="24"/>
          <w:lang w:val="fr-CA"/>
        </w:rPr>
        <w:t>, les cotisations et réductions salariales versées depuis le 1er janvier 2015 devraient être dirigées vers la réduction du déficit attribuable aux participants actifs et</w:t>
      </w:r>
      <w:r w:rsidR="00A779AD">
        <w:rPr>
          <w:sz w:val="24"/>
          <w:szCs w:val="24"/>
          <w:lang w:val="fr-CA"/>
        </w:rPr>
        <w:t>,</w:t>
      </w:r>
      <w:r w:rsidRPr="0041050A">
        <w:rPr>
          <w:sz w:val="24"/>
          <w:szCs w:val="24"/>
          <w:lang w:val="fr-CA"/>
        </w:rPr>
        <w:t xml:space="preserve"> ne </w:t>
      </w:r>
      <w:r w:rsidR="00A779AD">
        <w:rPr>
          <w:sz w:val="24"/>
          <w:szCs w:val="24"/>
          <w:lang w:val="fr-CA"/>
        </w:rPr>
        <w:t xml:space="preserve">devraient </w:t>
      </w:r>
      <w:r w:rsidRPr="0041050A">
        <w:rPr>
          <w:sz w:val="24"/>
          <w:szCs w:val="24"/>
          <w:lang w:val="fr-CA"/>
        </w:rPr>
        <w:t>pas être remboursées</w:t>
      </w:r>
      <w:r w:rsidR="0041050A" w:rsidRPr="0041050A">
        <w:rPr>
          <w:sz w:val="24"/>
          <w:szCs w:val="24"/>
          <w:lang w:val="fr-CA"/>
        </w:rPr>
        <w:t>.</w:t>
      </w:r>
      <w:r w:rsidRPr="0041050A">
        <w:rPr>
          <w:sz w:val="24"/>
          <w:szCs w:val="24"/>
          <w:lang w:val="fr-CA"/>
        </w:rPr>
        <w:t xml:space="preserve"> En terme</w:t>
      </w:r>
      <w:r w:rsidR="00A779AD">
        <w:rPr>
          <w:sz w:val="24"/>
          <w:szCs w:val="24"/>
          <w:lang w:val="fr-CA"/>
        </w:rPr>
        <w:t>s</w:t>
      </w:r>
      <w:r w:rsidRPr="0041050A">
        <w:rPr>
          <w:sz w:val="24"/>
          <w:szCs w:val="24"/>
          <w:lang w:val="fr-CA"/>
        </w:rPr>
        <w:t xml:space="preserve"> d’équité, ces p</w:t>
      </w:r>
      <w:r w:rsidR="00A779AD">
        <w:rPr>
          <w:sz w:val="24"/>
          <w:szCs w:val="24"/>
          <w:lang w:val="fr-CA"/>
        </w:rPr>
        <w:t xml:space="preserve">articipants auront </w:t>
      </w:r>
      <w:r w:rsidRPr="0041050A">
        <w:rPr>
          <w:sz w:val="24"/>
          <w:szCs w:val="24"/>
          <w:lang w:val="fr-CA"/>
        </w:rPr>
        <w:t xml:space="preserve">profité </w:t>
      </w:r>
      <w:r w:rsidR="002B2E1E" w:rsidRPr="0041050A">
        <w:rPr>
          <w:sz w:val="24"/>
          <w:szCs w:val="24"/>
          <w:lang w:val="fr-CA"/>
        </w:rPr>
        <w:t>du fait qu’ils seront considérés comme retraités même si leur retraite est sur</w:t>
      </w:r>
      <w:r w:rsidR="00076D2A" w:rsidRPr="0041050A">
        <w:rPr>
          <w:sz w:val="24"/>
          <w:szCs w:val="24"/>
          <w:lang w:val="fr-CA"/>
        </w:rPr>
        <w:t>venue après le 31 décembre 2014.</w:t>
      </w:r>
    </w:p>
    <w:p w:rsidR="00076D2A" w:rsidRPr="00076D2A" w:rsidRDefault="00076D2A" w:rsidP="000B1D2B">
      <w:pPr>
        <w:spacing w:line="240" w:lineRule="auto"/>
        <w:jc w:val="both"/>
        <w:rPr>
          <w:sz w:val="24"/>
          <w:szCs w:val="24"/>
          <w:highlight w:val="yellow"/>
          <w:lang w:val="fr-CA"/>
        </w:rPr>
      </w:pPr>
    </w:p>
    <w:p w:rsidR="000B1D2B" w:rsidRDefault="00455FC3" w:rsidP="00455FC3">
      <w:pPr>
        <w:spacing w:line="240" w:lineRule="auto"/>
        <w:ind w:left="720"/>
        <w:rPr>
          <w:b/>
          <w:sz w:val="24"/>
          <w:szCs w:val="24"/>
          <w:lang w:val="fr-CA"/>
        </w:rPr>
      </w:pPr>
      <w:r>
        <w:rPr>
          <w:b/>
          <w:sz w:val="24"/>
          <w:szCs w:val="24"/>
          <w:lang w:val="fr-CA"/>
        </w:rPr>
        <w:t>3.4</w:t>
      </w:r>
      <w:r w:rsidR="00F35913" w:rsidRPr="00F35913">
        <w:rPr>
          <w:b/>
          <w:sz w:val="24"/>
          <w:szCs w:val="24"/>
          <w:lang w:val="fr-CA"/>
        </w:rPr>
        <w:t>) Volets distinct</w:t>
      </w:r>
      <w:r w:rsidR="00F35913" w:rsidRPr="00882BA8">
        <w:rPr>
          <w:b/>
          <w:sz w:val="24"/>
          <w:szCs w:val="24"/>
          <w:lang w:val="fr-CA"/>
        </w:rPr>
        <w:t>s</w:t>
      </w:r>
      <w:r w:rsidR="00F35913" w:rsidRPr="00F35913">
        <w:rPr>
          <w:b/>
          <w:sz w:val="24"/>
          <w:szCs w:val="24"/>
          <w:lang w:val="fr-CA"/>
        </w:rPr>
        <w:t xml:space="preserve"> pour la comptab</w:t>
      </w:r>
      <w:r>
        <w:rPr>
          <w:b/>
          <w:sz w:val="24"/>
          <w:szCs w:val="24"/>
          <w:lang w:val="fr-CA"/>
        </w:rPr>
        <w:t>ilité des excédents d’actifs </w:t>
      </w:r>
    </w:p>
    <w:p w:rsidR="00F35913" w:rsidRPr="000B1D2B" w:rsidRDefault="00A202D6" w:rsidP="00455FC3">
      <w:pPr>
        <w:spacing w:line="240" w:lineRule="auto"/>
        <w:ind w:firstLine="720"/>
        <w:rPr>
          <w:b/>
          <w:sz w:val="24"/>
          <w:szCs w:val="24"/>
          <w:lang w:val="fr-CA"/>
        </w:rPr>
      </w:pPr>
      <w:r>
        <w:rPr>
          <w:sz w:val="24"/>
          <w:szCs w:val="24"/>
          <w:lang w:val="fr-CA"/>
        </w:rPr>
        <w:t>D’une part, n</w:t>
      </w:r>
      <w:r w:rsidR="00F35913">
        <w:rPr>
          <w:sz w:val="24"/>
          <w:szCs w:val="24"/>
          <w:lang w:val="fr-CA"/>
        </w:rPr>
        <w:t xml:space="preserve">ous comprenons du PL75 qu’un volet pour le service futur distinct du volet pour le service passé doit être créé. Le surplus d’un volet ne peut être utilisé que pour le service auquel il se rapporte. </w:t>
      </w:r>
    </w:p>
    <w:p w:rsidR="00172564" w:rsidRDefault="00A202D6" w:rsidP="000B1D2B">
      <w:pPr>
        <w:spacing w:line="240" w:lineRule="auto"/>
        <w:jc w:val="both"/>
        <w:rPr>
          <w:sz w:val="24"/>
          <w:szCs w:val="24"/>
          <w:lang w:val="fr-CA"/>
        </w:rPr>
      </w:pPr>
      <w:r>
        <w:rPr>
          <w:sz w:val="24"/>
          <w:szCs w:val="24"/>
          <w:lang w:val="fr-CA"/>
        </w:rPr>
        <w:t xml:space="preserve">D’autre part, </w:t>
      </w:r>
      <w:r w:rsidR="00172564">
        <w:rPr>
          <w:sz w:val="24"/>
          <w:szCs w:val="24"/>
          <w:lang w:val="fr-CA"/>
        </w:rPr>
        <w:t>à l’article 77</w:t>
      </w:r>
      <w:r w:rsidR="00FE234F">
        <w:rPr>
          <w:sz w:val="24"/>
          <w:szCs w:val="24"/>
          <w:lang w:val="fr-CA"/>
        </w:rPr>
        <w:t xml:space="preserve"> </w:t>
      </w:r>
      <w:r w:rsidR="00FE234F" w:rsidRPr="0041050A">
        <w:rPr>
          <w:sz w:val="24"/>
          <w:szCs w:val="24"/>
          <w:lang w:val="fr-CA"/>
        </w:rPr>
        <w:t>du PL75</w:t>
      </w:r>
      <w:r w:rsidR="00172564">
        <w:rPr>
          <w:sz w:val="24"/>
          <w:szCs w:val="24"/>
          <w:lang w:val="fr-CA"/>
        </w:rPr>
        <w:t>, il est stipulé que la présente loi n’a pas pour effet d’interdire le partage des déficits constatés dans une évaluation actuarielle postérieure au 31 décembre 2014 relativement au service antérieur au 1</w:t>
      </w:r>
      <w:r w:rsidR="00172564" w:rsidRPr="00172564">
        <w:rPr>
          <w:sz w:val="24"/>
          <w:szCs w:val="24"/>
          <w:vertAlign w:val="superscript"/>
          <w:lang w:val="fr-CA"/>
        </w:rPr>
        <w:t>er</w:t>
      </w:r>
      <w:r w:rsidR="00172564">
        <w:rPr>
          <w:sz w:val="24"/>
          <w:szCs w:val="24"/>
          <w:lang w:val="fr-CA"/>
        </w:rPr>
        <w:t xml:space="preserve"> janvier 2015. À ce moment-ci, nous présum</w:t>
      </w:r>
      <w:r w:rsidR="00882BA8">
        <w:rPr>
          <w:sz w:val="24"/>
          <w:szCs w:val="24"/>
          <w:lang w:val="fr-CA"/>
        </w:rPr>
        <w:t xml:space="preserve">ons </w:t>
      </w:r>
      <w:r w:rsidR="00172564">
        <w:rPr>
          <w:sz w:val="24"/>
          <w:szCs w:val="24"/>
          <w:lang w:val="fr-CA"/>
        </w:rPr>
        <w:t xml:space="preserve">que </w:t>
      </w:r>
      <w:r w:rsidR="00076D2A">
        <w:rPr>
          <w:sz w:val="24"/>
          <w:szCs w:val="24"/>
          <w:lang w:val="fr-CA"/>
        </w:rPr>
        <w:t xml:space="preserve">c’est </w:t>
      </w:r>
      <w:r w:rsidR="00C93B2F">
        <w:rPr>
          <w:sz w:val="24"/>
          <w:szCs w:val="24"/>
          <w:lang w:val="fr-CA"/>
        </w:rPr>
        <w:t>la s</w:t>
      </w:r>
      <w:r w:rsidR="00172564">
        <w:rPr>
          <w:sz w:val="24"/>
          <w:szCs w:val="24"/>
          <w:lang w:val="fr-CA"/>
        </w:rPr>
        <w:t xml:space="preserve">ection 7.1 du </w:t>
      </w:r>
      <w:r w:rsidR="00172564" w:rsidRPr="00172564">
        <w:rPr>
          <w:i/>
          <w:sz w:val="24"/>
          <w:szCs w:val="24"/>
          <w:lang w:val="fr-CA"/>
        </w:rPr>
        <w:t>Règlement concernant le financement des régimes de retraite des secteurs municipal et universitaire</w:t>
      </w:r>
      <w:r w:rsidR="00172564">
        <w:rPr>
          <w:sz w:val="24"/>
          <w:szCs w:val="24"/>
          <w:lang w:val="fr-CA"/>
        </w:rPr>
        <w:t xml:space="preserve"> </w:t>
      </w:r>
      <w:r w:rsidR="00076D2A">
        <w:rPr>
          <w:sz w:val="24"/>
          <w:szCs w:val="24"/>
          <w:lang w:val="fr-CA"/>
        </w:rPr>
        <w:t xml:space="preserve">qui </w:t>
      </w:r>
      <w:r w:rsidR="00172564">
        <w:rPr>
          <w:sz w:val="24"/>
          <w:szCs w:val="24"/>
          <w:lang w:val="fr-CA"/>
        </w:rPr>
        <w:t>s’appliquerait. Il est stipulé à l’article 38.5 de ce règlement qu</w:t>
      </w:r>
      <w:r>
        <w:rPr>
          <w:sz w:val="24"/>
          <w:szCs w:val="24"/>
          <w:lang w:val="fr-CA"/>
        </w:rPr>
        <w:t>’</w:t>
      </w:r>
      <w:r w:rsidR="00172564">
        <w:rPr>
          <w:sz w:val="24"/>
          <w:szCs w:val="24"/>
          <w:lang w:val="fr-CA"/>
        </w:rPr>
        <w:t xml:space="preserve">une cotisation salariale ne peut être versée à l’ancien volet que si le participant </w:t>
      </w:r>
      <w:proofErr w:type="spellStart"/>
      <w:r w:rsidR="00172564">
        <w:rPr>
          <w:sz w:val="24"/>
          <w:szCs w:val="24"/>
          <w:lang w:val="fr-CA"/>
        </w:rPr>
        <w:t>a</w:t>
      </w:r>
      <w:proofErr w:type="spellEnd"/>
      <w:r w:rsidR="00172564">
        <w:rPr>
          <w:sz w:val="24"/>
          <w:szCs w:val="24"/>
          <w:lang w:val="fr-CA"/>
        </w:rPr>
        <w:t xml:space="preserve"> des droits au titre de ce volet.</w:t>
      </w:r>
      <w:r>
        <w:rPr>
          <w:sz w:val="24"/>
          <w:szCs w:val="24"/>
          <w:lang w:val="fr-CA"/>
        </w:rPr>
        <w:t xml:space="preserve"> Dans ce cas, et si les participants actifs sont toujours responsables du financement des déficits relatifs au service passé, le nombre de participant</w:t>
      </w:r>
      <w:r w:rsidR="00C93B2F">
        <w:rPr>
          <w:sz w:val="24"/>
          <w:szCs w:val="24"/>
          <w:lang w:val="fr-CA"/>
        </w:rPr>
        <w:t>s</w:t>
      </w:r>
      <w:r>
        <w:rPr>
          <w:sz w:val="24"/>
          <w:szCs w:val="24"/>
          <w:lang w:val="fr-CA"/>
        </w:rPr>
        <w:t xml:space="preserve"> pouvant </w:t>
      </w:r>
      <w:r w:rsidR="00C93B2F">
        <w:rPr>
          <w:sz w:val="24"/>
          <w:szCs w:val="24"/>
          <w:lang w:val="fr-CA"/>
        </w:rPr>
        <w:t xml:space="preserve">contribuer </w:t>
      </w:r>
      <w:r>
        <w:rPr>
          <w:sz w:val="24"/>
          <w:szCs w:val="24"/>
          <w:lang w:val="fr-CA"/>
        </w:rPr>
        <w:t xml:space="preserve">à l’effort ira en diminuant </w:t>
      </w:r>
      <w:r w:rsidR="00E7201C">
        <w:rPr>
          <w:sz w:val="24"/>
          <w:szCs w:val="24"/>
          <w:lang w:val="fr-CA"/>
        </w:rPr>
        <w:t xml:space="preserve">et </w:t>
      </w:r>
      <w:r>
        <w:rPr>
          <w:sz w:val="24"/>
          <w:szCs w:val="24"/>
          <w:lang w:val="fr-CA"/>
        </w:rPr>
        <w:t xml:space="preserve">le fardeau à </w:t>
      </w:r>
      <w:r w:rsidR="00C93B2F">
        <w:rPr>
          <w:sz w:val="24"/>
          <w:szCs w:val="24"/>
          <w:lang w:val="fr-CA"/>
        </w:rPr>
        <w:t>assumer</w:t>
      </w:r>
      <w:r>
        <w:rPr>
          <w:sz w:val="24"/>
          <w:szCs w:val="24"/>
          <w:lang w:val="fr-CA"/>
        </w:rPr>
        <w:t xml:space="preserve"> par ceux-ci deviendra de plus en plus lourd et</w:t>
      </w:r>
      <w:r w:rsidR="00C93B2F">
        <w:rPr>
          <w:sz w:val="24"/>
          <w:szCs w:val="24"/>
          <w:lang w:val="fr-CA"/>
        </w:rPr>
        <w:t>,</w:t>
      </w:r>
      <w:r>
        <w:rPr>
          <w:sz w:val="24"/>
          <w:szCs w:val="24"/>
          <w:lang w:val="fr-CA"/>
        </w:rPr>
        <w:t xml:space="preserve"> à </w:t>
      </w:r>
      <w:r w:rsidR="00E7201C">
        <w:rPr>
          <w:sz w:val="24"/>
          <w:szCs w:val="24"/>
          <w:lang w:val="fr-CA"/>
        </w:rPr>
        <w:t>moyen</w:t>
      </w:r>
      <w:r>
        <w:rPr>
          <w:sz w:val="24"/>
          <w:szCs w:val="24"/>
          <w:lang w:val="fr-CA"/>
        </w:rPr>
        <w:t xml:space="preserve"> terme, insupportable.</w:t>
      </w:r>
    </w:p>
    <w:p w:rsidR="00455FC3" w:rsidRDefault="00455FC3" w:rsidP="000B1D2B">
      <w:pPr>
        <w:spacing w:line="240" w:lineRule="auto"/>
        <w:rPr>
          <w:b/>
          <w:i/>
          <w:iCs/>
          <w:sz w:val="24"/>
          <w:szCs w:val="24"/>
          <w:lang w:val="fr-CA"/>
        </w:rPr>
      </w:pPr>
    </w:p>
    <w:p w:rsidR="00616662" w:rsidRPr="0067033B" w:rsidRDefault="00030426" w:rsidP="00455FC3">
      <w:pPr>
        <w:spacing w:line="240" w:lineRule="auto"/>
        <w:ind w:firstLine="720"/>
        <w:rPr>
          <w:b/>
          <w:i/>
          <w:iCs/>
          <w:sz w:val="24"/>
          <w:szCs w:val="24"/>
          <w:lang w:val="fr-CA"/>
        </w:rPr>
      </w:pPr>
      <w:r>
        <w:rPr>
          <w:b/>
          <w:i/>
          <w:iCs/>
          <w:sz w:val="24"/>
          <w:szCs w:val="24"/>
          <w:lang w:val="fr-CA"/>
        </w:rPr>
        <w:t>Propositions</w:t>
      </w:r>
    </w:p>
    <w:p w:rsidR="00616662" w:rsidRDefault="00616662" w:rsidP="000B1D2B">
      <w:pPr>
        <w:spacing w:line="240" w:lineRule="auto"/>
        <w:jc w:val="both"/>
        <w:rPr>
          <w:sz w:val="24"/>
          <w:szCs w:val="24"/>
          <w:lang w:val="fr-CA"/>
        </w:rPr>
      </w:pPr>
      <w:r>
        <w:rPr>
          <w:sz w:val="24"/>
          <w:szCs w:val="24"/>
          <w:lang w:val="fr-CA"/>
        </w:rPr>
        <w:t xml:space="preserve">Notre </w:t>
      </w:r>
      <w:r w:rsidR="00030426">
        <w:rPr>
          <w:sz w:val="24"/>
          <w:szCs w:val="24"/>
          <w:lang w:val="fr-CA"/>
        </w:rPr>
        <w:t>proposition</w:t>
      </w:r>
      <w:r>
        <w:rPr>
          <w:sz w:val="24"/>
          <w:szCs w:val="24"/>
          <w:lang w:val="fr-CA"/>
        </w:rPr>
        <w:t xml:space="preserve"> est en deux temps :</w:t>
      </w:r>
    </w:p>
    <w:p w:rsidR="00616662" w:rsidRDefault="00616662" w:rsidP="000B1D2B">
      <w:pPr>
        <w:pStyle w:val="ListParagraph"/>
        <w:numPr>
          <w:ilvl w:val="0"/>
          <w:numId w:val="8"/>
        </w:numPr>
        <w:spacing w:line="240" w:lineRule="auto"/>
        <w:jc w:val="both"/>
        <w:rPr>
          <w:sz w:val="24"/>
          <w:szCs w:val="24"/>
          <w:lang w:val="fr-CA"/>
        </w:rPr>
      </w:pPr>
      <w:r>
        <w:rPr>
          <w:sz w:val="24"/>
          <w:szCs w:val="24"/>
          <w:lang w:val="fr-CA"/>
        </w:rPr>
        <w:t xml:space="preserve">Soit </w:t>
      </w:r>
      <w:r w:rsidR="00C93B2F">
        <w:rPr>
          <w:sz w:val="24"/>
          <w:szCs w:val="24"/>
          <w:lang w:val="fr-CA"/>
        </w:rPr>
        <w:t xml:space="preserve">le PL75 </w:t>
      </w:r>
      <w:r w:rsidR="00872A54" w:rsidRPr="0041050A">
        <w:rPr>
          <w:sz w:val="24"/>
          <w:szCs w:val="24"/>
          <w:lang w:val="fr-CA"/>
        </w:rPr>
        <w:t xml:space="preserve">n’offre pas la possibilité de </w:t>
      </w:r>
      <w:r w:rsidRPr="0041050A">
        <w:rPr>
          <w:sz w:val="24"/>
          <w:szCs w:val="24"/>
          <w:lang w:val="fr-CA"/>
        </w:rPr>
        <w:t>partage</w:t>
      </w:r>
      <w:r w:rsidR="00872A54" w:rsidRPr="0041050A">
        <w:rPr>
          <w:sz w:val="24"/>
          <w:szCs w:val="24"/>
          <w:lang w:val="fr-CA"/>
        </w:rPr>
        <w:t>r</w:t>
      </w:r>
      <w:r>
        <w:rPr>
          <w:sz w:val="24"/>
          <w:szCs w:val="24"/>
          <w:lang w:val="fr-CA"/>
        </w:rPr>
        <w:t xml:space="preserve"> </w:t>
      </w:r>
      <w:r w:rsidR="00872A54">
        <w:rPr>
          <w:sz w:val="24"/>
          <w:szCs w:val="24"/>
          <w:lang w:val="fr-CA"/>
        </w:rPr>
        <w:t>l</w:t>
      </w:r>
      <w:r>
        <w:rPr>
          <w:sz w:val="24"/>
          <w:szCs w:val="24"/>
          <w:lang w:val="fr-CA"/>
        </w:rPr>
        <w:t>es déficits pour le service passé avec les employés (comme c’est le cas pour la Loi 15);</w:t>
      </w:r>
    </w:p>
    <w:p w:rsidR="00616662" w:rsidRPr="00616662" w:rsidRDefault="00C93B2F" w:rsidP="000B1D2B">
      <w:pPr>
        <w:pStyle w:val="ListParagraph"/>
        <w:numPr>
          <w:ilvl w:val="0"/>
          <w:numId w:val="8"/>
        </w:numPr>
        <w:spacing w:line="240" w:lineRule="auto"/>
        <w:jc w:val="both"/>
        <w:rPr>
          <w:sz w:val="24"/>
          <w:szCs w:val="24"/>
          <w:lang w:val="fr-CA"/>
        </w:rPr>
      </w:pPr>
      <w:r>
        <w:rPr>
          <w:sz w:val="24"/>
          <w:szCs w:val="24"/>
          <w:lang w:val="fr-CA"/>
        </w:rPr>
        <w:lastRenderedPageBreak/>
        <w:t xml:space="preserve">Soit </w:t>
      </w:r>
      <w:r w:rsidR="00616662">
        <w:rPr>
          <w:sz w:val="24"/>
          <w:szCs w:val="24"/>
          <w:lang w:val="fr-CA"/>
        </w:rPr>
        <w:t>les parties décident, dans le contexte où les employés continuent de financer les défici</w:t>
      </w:r>
      <w:r>
        <w:rPr>
          <w:sz w:val="24"/>
          <w:szCs w:val="24"/>
          <w:lang w:val="fr-CA"/>
        </w:rPr>
        <w:t xml:space="preserve">ts pour le service passé, </w:t>
      </w:r>
      <w:r w:rsidRPr="0041050A">
        <w:rPr>
          <w:sz w:val="24"/>
          <w:szCs w:val="24"/>
          <w:lang w:val="fr-CA"/>
        </w:rPr>
        <w:t xml:space="preserve">de </w:t>
      </w:r>
      <w:r w:rsidR="00FE234F" w:rsidRPr="0041050A">
        <w:rPr>
          <w:sz w:val="24"/>
          <w:szCs w:val="24"/>
          <w:lang w:val="fr-CA"/>
        </w:rPr>
        <w:t xml:space="preserve">ne pas </w:t>
      </w:r>
      <w:r w:rsidR="00616662" w:rsidRPr="0041050A">
        <w:rPr>
          <w:sz w:val="24"/>
          <w:szCs w:val="24"/>
          <w:lang w:val="fr-CA"/>
        </w:rPr>
        <w:t>cré</w:t>
      </w:r>
      <w:r w:rsidRPr="0041050A">
        <w:rPr>
          <w:sz w:val="24"/>
          <w:szCs w:val="24"/>
          <w:lang w:val="fr-CA"/>
        </w:rPr>
        <w:t xml:space="preserve">er </w:t>
      </w:r>
      <w:r w:rsidR="00616662" w:rsidRPr="0041050A">
        <w:rPr>
          <w:sz w:val="24"/>
          <w:szCs w:val="24"/>
          <w:lang w:val="fr-CA"/>
        </w:rPr>
        <w:t>deux volets</w:t>
      </w:r>
      <w:r w:rsidR="00616662">
        <w:rPr>
          <w:sz w:val="24"/>
          <w:szCs w:val="24"/>
          <w:lang w:val="fr-CA"/>
        </w:rPr>
        <w:t>.</w:t>
      </w:r>
      <w:r w:rsidR="00671915">
        <w:rPr>
          <w:sz w:val="24"/>
          <w:szCs w:val="24"/>
          <w:lang w:val="fr-CA"/>
        </w:rPr>
        <w:t xml:space="preserve"> </w:t>
      </w:r>
      <w:r w:rsidR="00E7201C">
        <w:rPr>
          <w:sz w:val="24"/>
          <w:szCs w:val="24"/>
          <w:lang w:val="fr-CA"/>
        </w:rPr>
        <w:t xml:space="preserve">Rappelons que la part du déficit à financer </w:t>
      </w:r>
      <w:r w:rsidR="005B5843">
        <w:rPr>
          <w:sz w:val="24"/>
          <w:szCs w:val="24"/>
          <w:lang w:val="fr-CA"/>
        </w:rPr>
        <w:t>par les employés actifs pour l’a</w:t>
      </w:r>
      <w:r w:rsidR="00E7201C">
        <w:rPr>
          <w:sz w:val="24"/>
          <w:szCs w:val="24"/>
          <w:lang w:val="fr-CA"/>
        </w:rPr>
        <w:t>ncien vole</w:t>
      </w:r>
      <w:r w:rsidR="00FE234F">
        <w:rPr>
          <w:sz w:val="24"/>
          <w:szCs w:val="24"/>
          <w:lang w:val="fr-CA"/>
        </w:rPr>
        <w:t>t pourrait être inférieure à 45 </w:t>
      </w:r>
      <w:r w:rsidR="00E7201C">
        <w:rPr>
          <w:sz w:val="24"/>
          <w:szCs w:val="24"/>
          <w:lang w:val="fr-CA"/>
        </w:rPr>
        <w:t>%.</w:t>
      </w:r>
    </w:p>
    <w:p w:rsidR="00455FC3" w:rsidRDefault="00455FC3" w:rsidP="000B1D2B">
      <w:pPr>
        <w:spacing w:line="240" w:lineRule="auto"/>
        <w:jc w:val="both"/>
        <w:rPr>
          <w:b/>
          <w:sz w:val="24"/>
          <w:szCs w:val="24"/>
          <w:lang w:val="fr-CA"/>
        </w:rPr>
      </w:pPr>
    </w:p>
    <w:p w:rsidR="00152088" w:rsidRDefault="00455FC3" w:rsidP="00455FC3">
      <w:pPr>
        <w:spacing w:line="240" w:lineRule="auto"/>
        <w:ind w:firstLine="720"/>
        <w:jc w:val="both"/>
        <w:rPr>
          <w:b/>
          <w:sz w:val="24"/>
          <w:szCs w:val="24"/>
          <w:lang w:val="fr-CA"/>
        </w:rPr>
      </w:pPr>
      <w:r>
        <w:rPr>
          <w:b/>
          <w:sz w:val="24"/>
          <w:szCs w:val="24"/>
          <w:lang w:val="fr-CA"/>
        </w:rPr>
        <w:t>3.5</w:t>
      </w:r>
      <w:r w:rsidR="00ED2DB9" w:rsidRPr="00ED2DB9">
        <w:rPr>
          <w:b/>
          <w:sz w:val="24"/>
          <w:szCs w:val="24"/>
          <w:lang w:val="fr-CA"/>
        </w:rPr>
        <w:t>) Abolition de la prestation additionnelle :</w:t>
      </w:r>
    </w:p>
    <w:p w:rsidR="00ED2DB9" w:rsidRDefault="00ED2DB9" w:rsidP="00455FC3">
      <w:pPr>
        <w:spacing w:line="240" w:lineRule="auto"/>
        <w:ind w:firstLine="720"/>
        <w:jc w:val="both"/>
        <w:rPr>
          <w:sz w:val="24"/>
          <w:szCs w:val="24"/>
          <w:lang w:val="fr-CA"/>
        </w:rPr>
      </w:pPr>
      <w:r>
        <w:rPr>
          <w:sz w:val="24"/>
          <w:szCs w:val="24"/>
          <w:lang w:val="fr-CA"/>
        </w:rPr>
        <w:t xml:space="preserve">Le PL75 prévoit l’abolition de la prestation additionnelle, autant pour le service passé que futur au 31 décembre 2014. Par contre, il </w:t>
      </w:r>
      <w:r w:rsidR="005B5843">
        <w:rPr>
          <w:sz w:val="24"/>
          <w:szCs w:val="24"/>
          <w:lang w:val="fr-CA"/>
        </w:rPr>
        <w:t xml:space="preserve">n'est pas indiqué que </w:t>
      </w:r>
      <w:r>
        <w:rPr>
          <w:sz w:val="24"/>
          <w:szCs w:val="24"/>
          <w:lang w:val="fr-CA"/>
        </w:rPr>
        <w:t xml:space="preserve">l’élimination de cette prestation </w:t>
      </w:r>
      <w:r w:rsidR="00C93B2F">
        <w:rPr>
          <w:sz w:val="24"/>
          <w:szCs w:val="24"/>
          <w:lang w:val="fr-CA"/>
        </w:rPr>
        <w:t>réduira</w:t>
      </w:r>
      <w:r>
        <w:rPr>
          <w:sz w:val="24"/>
          <w:szCs w:val="24"/>
          <w:lang w:val="fr-CA"/>
        </w:rPr>
        <w:t xml:space="preserve"> la part du déficit à supporter par les participants actifs.</w:t>
      </w:r>
    </w:p>
    <w:p w:rsidR="00455FC3" w:rsidRDefault="00455FC3" w:rsidP="000B1D2B">
      <w:pPr>
        <w:spacing w:line="240" w:lineRule="auto"/>
        <w:rPr>
          <w:b/>
          <w:i/>
          <w:iCs/>
          <w:sz w:val="24"/>
          <w:szCs w:val="24"/>
          <w:lang w:val="fr-CA"/>
        </w:rPr>
      </w:pPr>
    </w:p>
    <w:p w:rsidR="00ED2DB9" w:rsidRPr="0067033B" w:rsidRDefault="00030426" w:rsidP="00455FC3">
      <w:pPr>
        <w:spacing w:line="240" w:lineRule="auto"/>
        <w:ind w:firstLine="720"/>
        <w:rPr>
          <w:b/>
          <w:i/>
          <w:iCs/>
          <w:sz w:val="24"/>
          <w:szCs w:val="24"/>
          <w:lang w:val="fr-CA"/>
        </w:rPr>
      </w:pPr>
      <w:r>
        <w:rPr>
          <w:b/>
          <w:i/>
          <w:iCs/>
          <w:sz w:val="24"/>
          <w:szCs w:val="24"/>
          <w:lang w:val="fr-CA"/>
        </w:rPr>
        <w:t>Proposition</w:t>
      </w:r>
    </w:p>
    <w:p w:rsidR="00ED2DB9" w:rsidRDefault="00ED2DB9" w:rsidP="000B1D2B">
      <w:pPr>
        <w:spacing w:line="240" w:lineRule="auto"/>
        <w:jc w:val="both"/>
        <w:rPr>
          <w:sz w:val="24"/>
          <w:szCs w:val="24"/>
          <w:lang w:val="fr-CA"/>
        </w:rPr>
      </w:pPr>
      <w:r>
        <w:rPr>
          <w:sz w:val="24"/>
          <w:szCs w:val="24"/>
          <w:lang w:val="fr-CA"/>
        </w:rPr>
        <w:t>Le PL75 devrait préciser que l’élimination de cette prestation pour le service passé sera considéré</w:t>
      </w:r>
      <w:r w:rsidR="00863861">
        <w:rPr>
          <w:sz w:val="24"/>
          <w:szCs w:val="24"/>
          <w:lang w:val="fr-CA"/>
        </w:rPr>
        <w:t>e</w:t>
      </w:r>
      <w:r>
        <w:rPr>
          <w:sz w:val="24"/>
          <w:szCs w:val="24"/>
          <w:lang w:val="fr-CA"/>
        </w:rPr>
        <w:t xml:space="preserve"> dans l’effort requis des participants actifs.</w:t>
      </w:r>
    </w:p>
    <w:p w:rsidR="00455FC3" w:rsidRDefault="00455FC3" w:rsidP="000B1D2B">
      <w:pPr>
        <w:spacing w:line="240" w:lineRule="auto"/>
        <w:jc w:val="both"/>
        <w:rPr>
          <w:b/>
          <w:sz w:val="24"/>
          <w:szCs w:val="24"/>
          <w:lang w:val="fr-CA"/>
        </w:rPr>
      </w:pPr>
    </w:p>
    <w:p w:rsidR="009014BF" w:rsidRPr="00030426" w:rsidRDefault="00455FC3" w:rsidP="000B1D2B">
      <w:pPr>
        <w:spacing w:line="240" w:lineRule="auto"/>
        <w:jc w:val="both"/>
        <w:rPr>
          <w:lang w:val="fr-CA"/>
        </w:rPr>
      </w:pPr>
      <w:r>
        <w:rPr>
          <w:b/>
          <w:sz w:val="24"/>
          <w:szCs w:val="24"/>
          <w:lang w:val="fr-CA"/>
        </w:rPr>
        <w:t>4</w:t>
      </w:r>
      <w:r w:rsidR="0067033B" w:rsidRPr="00ED2DB9">
        <w:rPr>
          <w:b/>
          <w:sz w:val="24"/>
          <w:szCs w:val="24"/>
          <w:lang w:val="fr-CA"/>
        </w:rPr>
        <w:t xml:space="preserve">) </w:t>
      </w:r>
      <w:r w:rsidR="009014BF" w:rsidRPr="00455FC3">
        <w:rPr>
          <w:b/>
          <w:sz w:val="28"/>
          <w:szCs w:val="24"/>
          <w:lang w:val="fr-CA"/>
        </w:rPr>
        <w:t>Conclusion</w:t>
      </w:r>
    </w:p>
    <w:p w:rsidR="00D36074" w:rsidRPr="00D36074" w:rsidRDefault="00D36074" w:rsidP="00D36074">
      <w:pPr>
        <w:spacing w:line="240" w:lineRule="auto"/>
        <w:jc w:val="both"/>
        <w:rPr>
          <w:sz w:val="24"/>
          <w:szCs w:val="24"/>
          <w:lang w:val="fr-CA"/>
        </w:rPr>
      </w:pPr>
      <w:r w:rsidRPr="00D36074">
        <w:rPr>
          <w:sz w:val="24"/>
          <w:szCs w:val="24"/>
          <w:lang w:val="fr-CA"/>
        </w:rPr>
        <w:t xml:space="preserve">Dans ce mémoire, nous avons mis de l’avant un certain nombre de </w:t>
      </w:r>
      <w:r w:rsidR="00030426">
        <w:rPr>
          <w:sz w:val="24"/>
          <w:szCs w:val="24"/>
          <w:lang w:val="fr-CA"/>
        </w:rPr>
        <w:t>propositions</w:t>
      </w:r>
      <w:r w:rsidRPr="00D36074">
        <w:rPr>
          <w:sz w:val="24"/>
          <w:szCs w:val="24"/>
          <w:lang w:val="fr-CA"/>
        </w:rPr>
        <w:t xml:space="preserve"> d’aménagements qui s’inscrivent parfaitement dans les objectifs établis pour le PL75. Nous jugeons que ces  aménagements nous permettraient de négocier avec l’administration universitaire une entente qui améliorerait l’équilibre financier du régime tout en respectant</w:t>
      </w:r>
    </w:p>
    <w:p w:rsidR="00D36074" w:rsidRPr="00D36074" w:rsidRDefault="00D36074" w:rsidP="00D36074">
      <w:pPr>
        <w:spacing w:line="240" w:lineRule="auto"/>
        <w:jc w:val="both"/>
        <w:rPr>
          <w:sz w:val="24"/>
          <w:szCs w:val="24"/>
          <w:lang w:val="fr-CA"/>
        </w:rPr>
      </w:pPr>
      <w:r w:rsidRPr="00D36074">
        <w:rPr>
          <w:sz w:val="24"/>
          <w:szCs w:val="24"/>
          <w:lang w:val="fr-CA"/>
        </w:rPr>
        <w:t>•</w:t>
      </w:r>
      <w:r w:rsidRPr="00D36074">
        <w:rPr>
          <w:sz w:val="24"/>
          <w:szCs w:val="24"/>
          <w:lang w:val="fr-CA"/>
        </w:rPr>
        <w:tab/>
        <w:t>les intérêts spécifiques selon le type d’emploi : professeurs  ou employés de soutien;</w:t>
      </w:r>
    </w:p>
    <w:p w:rsidR="00D36074" w:rsidRPr="00D36074" w:rsidRDefault="00D36074" w:rsidP="00D36074">
      <w:pPr>
        <w:spacing w:line="240" w:lineRule="auto"/>
        <w:jc w:val="both"/>
        <w:rPr>
          <w:sz w:val="24"/>
          <w:szCs w:val="24"/>
          <w:lang w:val="fr-CA"/>
        </w:rPr>
      </w:pPr>
      <w:r w:rsidRPr="00D36074">
        <w:rPr>
          <w:sz w:val="24"/>
          <w:szCs w:val="24"/>
          <w:lang w:val="fr-CA"/>
        </w:rPr>
        <w:t>•</w:t>
      </w:r>
      <w:r w:rsidRPr="00D36074">
        <w:rPr>
          <w:sz w:val="24"/>
          <w:szCs w:val="24"/>
          <w:lang w:val="fr-CA"/>
        </w:rPr>
        <w:tab/>
        <w:t>la capacité de payer de nos membres; et surtout,</w:t>
      </w:r>
    </w:p>
    <w:p w:rsidR="00D36074" w:rsidRPr="00D36074" w:rsidRDefault="00D36074" w:rsidP="00D36074">
      <w:pPr>
        <w:spacing w:line="240" w:lineRule="auto"/>
        <w:jc w:val="both"/>
        <w:rPr>
          <w:sz w:val="24"/>
          <w:szCs w:val="24"/>
          <w:lang w:val="fr-CA"/>
        </w:rPr>
      </w:pPr>
      <w:r w:rsidRPr="00D36074">
        <w:rPr>
          <w:sz w:val="24"/>
          <w:szCs w:val="24"/>
          <w:lang w:val="fr-CA"/>
        </w:rPr>
        <w:t>•</w:t>
      </w:r>
      <w:r w:rsidRPr="00D36074">
        <w:rPr>
          <w:sz w:val="24"/>
          <w:szCs w:val="24"/>
          <w:lang w:val="fr-CA"/>
        </w:rPr>
        <w:tab/>
        <w:t xml:space="preserve"> le principe d’équité intergénérationnelle</w:t>
      </w:r>
    </w:p>
    <w:p w:rsidR="0067033B" w:rsidRPr="00ED2DB9" w:rsidRDefault="00D36074" w:rsidP="00D36074">
      <w:pPr>
        <w:spacing w:line="240" w:lineRule="auto"/>
        <w:jc w:val="both"/>
        <w:rPr>
          <w:sz w:val="24"/>
          <w:szCs w:val="24"/>
          <w:lang w:val="fr-CA"/>
        </w:rPr>
      </w:pPr>
      <w:r w:rsidRPr="00D36074">
        <w:rPr>
          <w:sz w:val="24"/>
          <w:szCs w:val="24"/>
          <w:lang w:val="fr-CA"/>
        </w:rPr>
        <w:t xml:space="preserve">L’Exécutif de l’APBU souhaite que les </w:t>
      </w:r>
      <w:r w:rsidR="00030426">
        <w:rPr>
          <w:sz w:val="24"/>
          <w:szCs w:val="24"/>
          <w:lang w:val="fr-CA"/>
        </w:rPr>
        <w:t xml:space="preserve">propositions </w:t>
      </w:r>
      <w:r w:rsidRPr="00D36074">
        <w:rPr>
          <w:sz w:val="24"/>
          <w:szCs w:val="24"/>
          <w:lang w:val="fr-CA"/>
        </w:rPr>
        <w:t>présentées soient accueillies favorablement, et reste entièrement à la disposition du Comité si des précisions ou détails additionnels sont nécessaires.</w:t>
      </w:r>
    </w:p>
    <w:sectPr w:rsidR="0067033B" w:rsidRPr="00ED2DB9" w:rsidSect="00D829E6">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0B3" w:rsidRDefault="00FA60B3" w:rsidP="002A51D3">
      <w:pPr>
        <w:spacing w:after="0" w:line="240" w:lineRule="auto"/>
      </w:pPr>
      <w:r>
        <w:separator/>
      </w:r>
    </w:p>
  </w:endnote>
  <w:endnote w:type="continuationSeparator" w:id="0">
    <w:p w:rsidR="00FA60B3" w:rsidRDefault="00FA60B3" w:rsidP="002A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83252"/>
      <w:docPartObj>
        <w:docPartGallery w:val="Page Numbers (Bottom of Page)"/>
        <w:docPartUnique/>
      </w:docPartObj>
    </w:sdtPr>
    <w:sdtEndPr/>
    <w:sdtContent>
      <w:p w:rsidR="00970B00" w:rsidRDefault="00970B00">
        <w:pPr>
          <w:pStyle w:val="Footer"/>
          <w:jc w:val="right"/>
        </w:pPr>
        <w:r>
          <w:fldChar w:fldCharType="begin"/>
        </w:r>
        <w:r>
          <w:instrText xml:space="preserve"> PAGE   \* MERGEFORMAT </w:instrText>
        </w:r>
        <w:r>
          <w:fldChar w:fldCharType="separate"/>
        </w:r>
        <w:r w:rsidR="00674AD7">
          <w:rPr>
            <w:noProof/>
          </w:rPr>
          <w:t>7</w:t>
        </w:r>
        <w:r>
          <w:rPr>
            <w:noProof/>
          </w:rPr>
          <w:fldChar w:fldCharType="end"/>
        </w:r>
      </w:p>
    </w:sdtContent>
  </w:sdt>
  <w:p w:rsidR="00970B00" w:rsidRDefault="00970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0B3" w:rsidRDefault="00FA60B3" w:rsidP="002A51D3">
      <w:pPr>
        <w:spacing w:after="0" w:line="240" w:lineRule="auto"/>
      </w:pPr>
      <w:r>
        <w:separator/>
      </w:r>
    </w:p>
  </w:footnote>
  <w:footnote w:type="continuationSeparator" w:id="0">
    <w:p w:rsidR="00FA60B3" w:rsidRDefault="00FA60B3" w:rsidP="002A5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B00" w:rsidRPr="002A51D3" w:rsidRDefault="00970B00" w:rsidP="002A51D3">
    <w:pPr>
      <w:pStyle w:val="Header"/>
      <w:pBdr>
        <w:bottom w:val="single" w:sz="4" w:space="1" w:color="auto"/>
      </w:pBdr>
      <w:rPr>
        <w:lang w:val="fr-FR"/>
      </w:rPr>
    </w:pPr>
    <w:r>
      <w:rPr>
        <w:lang w:val="fr-FR"/>
      </w:rPr>
      <w:t>Consultations sur le projet de loi 75</w:t>
    </w:r>
    <w:r>
      <w:rPr>
        <w:lang w:val="fr-FR"/>
      </w:rPr>
      <w:tab/>
    </w:r>
    <w:r>
      <w:rPr>
        <w:lang w:val="fr-FR"/>
      </w:rPr>
      <w:tab/>
      <w:t xml:space="preserve">    Association des professeurs de l'Université </w:t>
    </w:r>
    <w:proofErr w:type="spellStart"/>
    <w:r>
      <w:rPr>
        <w:lang w:val="fr-FR"/>
      </w:rPr>
      <w:t>Bishop`s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C46C0"/>
    <w:multiLevelType w:val="hybridMultilevel"/>
    <w:tmpl w:val="DDACB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62127"/>
    <w:multiLevelType w:val="hybridMultilevel"/>
    <w:tmpl w:val="FA1A6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E55C61"/>
    <w:multiLevelType w:val="hybridMultilevel"/>
    <w:tmpl w:val="FA1A6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FE3173"/>
    <w:multiLevelType w:val="hybridMultilevel"/>
    <w:tmpl w:val="AE14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04596"/>
    <w:multiLevelType w:val="hybridMultilevel"/>
    <w:tmpl w:val="ADDC41B8"/>
    <w:lvl w:ilvl="0" w:tplc="04090011">
      <w:start w:val="1"/>
      <w:numFmt w:val="decimal"/>
      <w:lvlText w:val="%1)"/>
      <w:lvlJc w:val="left"/>
      <w:pPr>
        <w:ind w:left="780" w:hanging="360"/>
      </w:pPr>
      <w:rPr>
        <w:rFonts w:hint="default"/>
      </w:rPr>
    </w:lvl>
    <w:lvl w:ilvl="1" w:tplc="0C0C0019">
      <w:start w:val="1"/>
      <w:numFmt w:val="lowerLetter"/>
      <w:lvlText w:val="%2."/>
      <w:lvlJc w:val="left"/>
      <w:pPr>
        <w:ind w:left="1500" w:hanging="360"/>
      </w:pPr>
    </w:lvl>
    <w:lvl w:ilvl="2" w:tplc="0C0C001B" w:tentative="1">
      <w:start w:val="1"/>
      <w:numFmt w:val="lowerRoman"/>
      <w:lvlText w:val="%3."/>
      <w:lvlJc w:val="right"/>
      <w:pPr>
        <w:ind w:left="2220" w:hanging="180"/>
      </w:pPr>
    </w:lvl>
    <w:lvl w:ilvl="3" w:tplc="0C0C000F" w:tentative="1">
      <w:start w:val="1"/>
      <w:numFmt w:val="decimal"/>
      <w:lvlText w:val="%4."/>
      <w:lvlJc w:val="left"/>
      <w:pPr>
        <w:ind w:left="2940" w:hanging="360"/>
      </w:pPr>
    </w:lvl>
    <w:lvl w:ilvl="4" w:tplc="0C0C0019" w:tentative="1">
      <w:start w:val="1"/>
      <w:numFmt w:val="lowerLetter"/>
      <w:lvlText w:val="%5."/>
      <w:lvlJc w:val="left"/>
      <w:pPr>
        <w:ind w:left="3660" w:hanging="360"/>
      </w:pPr>
    </w:lvl>
    <w:lvl w:ilvl="5" w:tplc="0C0C001B" w:tentative="1">
      <w:start w:val="1"/>
      <w:numFmt w:val="lowerRoman"/>
      <w:lvlText w:val="%6."/>
      <w:lvlJc w:val="right"/>
      <w:pPr>
        <w:ind w:left="4380" w:hanging="180"/>
      </w:pPr>
    </w:lvl>
    <w:lvl w:ilvl="6" w:tplc="0C0C000F" w:tentative="1">
      <w:start w:val="1"/>
      <w:numFmt w:val="decimal"/>
      <w:lvlText w:val="%7."/>
      <w:lvlJc w:val="left"/>
      <w:pPr>
        <w:ind w:left="5100" w:hanging="360"/>
      </w:pPr>
    </w:lvl>
    <w:lvl w:ilvl="7" w:tplc="0C0C0019" w:tentative="1">
      <w:start w:val="1"/>
      <w:numFmt w:val="lowerLetter"/>
      <w:lvlText w:val="%8."/>
      <w:lvlJc w:val="left"/>
      <w:pPr>
        <w:ind w:left="5820" w:hanging="360"/>
      </w:pPr>
    </w:lvl>
    <w:lvl w:ilvl="8" w:tplc="0C0C001B" w:tentative="1">
      <w:start w:val="1"/>
      <w:numFmt w:val="lowerRoman"/>
      <w:lvlText w:val="%9."/>
      <w:lvlJc w:val="right"/>
      <w:pPr>
        <w:ind w:left="6540" w:hanging="180"/>
      </w:pPr>
    </w:lvl>
  </w:abstractNum>
  <w:abstractNum w:abstractNumId="5">
    <w:nsid w:val="527A52A2"/>
    <w:multiLevelType w:val="hybridMultilevel"/>
    <w:tmpl w:val="0A723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62529"/>
    <w:multiLevelType w:val="hybridMultilevel"/>
    <w:tmpl w:val="FF70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BF17D8"/>
    <w:multiLevelType w:val="hybridMultilevel"/>
    <w:tmpl w:val="C6F67B40"/>
    <w:lvl w:ilvl="0" w:tplc="0409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FA"/>
    <w:rsid w:val="00007529"/>
    <w:rsid w:val="000122E1"/>
    <w:rsid w:val="00021DCC"/>
    <w:rsid w:val="00030426"/>
    <w:rsid w:val="00054EB1"/>
    <w:rsid w:val="00070764"/>
    <w:rsid w:val="00072325"/>
    <w:rsid w:val="00076D2A"/>
    <w:rsid w:val="0007762F"/>
    <w:rsid w:val="000B1D2B"/>
    <w:rsid w:val="00142302"/>
    <w:rsid w:val="00152088"/>
    <w:rsid w:val="00164D76"/>
    <w:rsid w:val="00172564"/>
    <w:rsid w:val="001A50B8"/>
    <w:rsid w:val="00217060"/>
    <w:rsid w:val="00274296"/>
    <w:rsid w:val="00277882"/>
    <w:rsid w:val="002927A8"/>
    <w:rsid w:val="002A51D3"/>
    <w:rsid w:val="002B2E1E"/>
    <w:rsid w:val="002B4441"/>
    <w:rsid w:val="002D5C8A"/>
    <w:rsid w:val="002F3E58"/>
    <w:rsid w:val="002F451C"/>
    <w:rsid w:val="00382165"/>
    <w:rsid w:val="003B6A0A"/>
    <w:rsid w:val="003D37D5"/>
    <w:rsid w:val="003D71AC"/>
    <w:rsid w:val="003E4E53"/>
    <w:rsid w:val="00403BE0"/>
    <w:rsid w:val="0041050A"/>
    <w:rsid w:val="00414AF7"/>
    <w:rsid w:val="004273CE"/>
    <w:rsid w:val="00440D59"/>
    <w:rsid w:val="00455FC3"/>
    <w:rsid w:val="00457C3F"/>
    <w:rsid w:val="00471A63"/>
    <w:rsid w:val="00472C30"/>
    <w:rsid w:val="004B2BFA"/>
    <w:rsid w:val="004C75DA"/>
    <w:rsid w:val="00530159"/>
    <w:rsid w:val="005367DF"/>
    <w:rsid w:val="00545A31"/>
    <w:rsid w:val="00563E76"/>
    <w:rsid w:val="00580806"/>
    <w:rsid w:val="00590298"/>
    <w:rsid w:val="0059085A"/>
    <w:rsid w:val="00590B44"/>
    <w:rsid w:val="00596EF8"/>
    <w:rsid w:val="005A3E41"/>
    <w:rsid w:val="005B05DE"/>
    <w:rsid w:val="005B5843"/>
    <w:rsid w:val="005F7D2D"/>
    <w:rsid w:val="00616662"/>
    <w:rsid w:val="0062701D"/>
    <w:rsid w:val="00653BB5"/>
    <w:rsid w:val="0067033B"/>
    <w:rsid w:val="00671915"/>
    <w:rsid w:val="00674AD7"/>
    <w:rsid w:val="006B1489"/>
    <w:rsid w:val="006C419E"/>
    <w:rsid w:val="006F13BB"/>
    <w:rsid w:val="00715E81"/>
    <w:rsid w:val="00755EEF"/>
    <w:rsid w:val="0076464B"/>
    <w:rsid w:val="00767D5F"/>
    <w:rsid w:val="00773BAB"/>
    <w:rsid w:val="007F241D"/>
    <w:rsid w:val="007F47D8"/>
    <w:rsid w:val="00804EFA"/>
    <w:rsid w:val="008130A0"/>
    <w:rsid w:val="008344B5"/>
    <w:rsid w:val="00834774"/>
    <w:rsid w:val="00837E69"/>
    <w:rsid w:val="0084724C"/>
    <w:rsid w:val="00863861"/>
    <w:rsid w:val="00872A54"/>
    <w:rsid w:val="00882BA8"/>
    <w:rsid w:val="0089679A"/>
    <w:rsid w:val="008C5279"/>
    <w:rsid w:val="009014BF"/>
    <w:rsid w:val="009058F4"/>
    <w:rsid w:val="0091313F"/>
    <w:rsid w:val="00935118"/>
    <w:rsid w:val="00953B4A"/>
    <w:rsid w:val="00970B00"/>
    <w:rsid w:val="00972A37"/>
    <w:rsid w:val="009B6D00"/>
    <w:rsid w:val="009D5E1F"/>
    <w:rsid w:val="009E4223"/>
    <w:rsid w:val="00A00168"/>
    <w:rsid w:val="00A202D6"/>
    <w:rsid w:val="00A24C35"/>
    <w:rsid w:val="00A779AD"/>
    <w:rsid w:val="00AB4682"/>
    <w:rsid w:val="00AC274B"/>
    <w:rsid w:val="00B44FA4"/>
    <w:rsid w:val="00BA1E4B"/>
    <w:rsid w:val="00BC1EF8"/>
    <w:rsid w:val="00BD2182"/>
    <w:rsid w:val="00BD7DEA"/>
    <w:rsid w:val="00BE782C"/>
    <w:rsid w:val="00BF1F83"/>
    <w:rsid w:val="00C20324"/>
    <w:rsid w:val="00C301B7"/>
    <w:rsid w:val="00C759B5"/>
    <w:rsid w:val="00C93B2F"/>
    <w:rsid w:val="00CC6F27"/>
    <w:rsid w:val="00D2658E"/>
    <w:rsid w:val="00D36074"/>
    <w:rsid w:val="00D47E28"/>
    <w:rsid w:val="00D71FCD"/>
    <w:rsid w:val="00D829E6"/>
    <w:rsid w:val="00DB328A"/>
    <w:rsid w:val="00DC271C"/>
    <w:rsid w:val="00DC453C"/>
    <w:rsid w:val="00DD1683"/>
    <w:rsid w:val="00DE6DB8"/>
    <w:rsid w:val="00E55958"/>
    <w:rsid w:val="00E649AD"/>
    <w:rsid w:val="00E7201C"/>
    <w:rsid w:val="00E75F3E"/>
    <w:rsid w:val="00E8452D"/>
    <w:rsid w:val="00E84EDF"/>
    <w:rsid w:val="00ED14AE"/>
    <w:rsid w:val="00ED1A8B"/>
    <w:rsid w:val="00ED2DB9"/>
    <w:rsid w:val="00EF7D2E"/>
    <w:rsid w:val="00F35913"/>
    <w:rsid w:val="00F65C17"/>
    <w:rsid w:val="00F95EBC"/>
    <w:rsid w:val="00FA60B3"/>
    <w:rsid w:val="00FC5125"/>
    <w:rsid w:val="00FC5F2C"/>
    <w:rsid w:val="00FE234F"/>
    <w:rsid w:val="00FE38CE"/>
    <w:rsid w:val="00FE7E0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958"/>
    <w:pPr>
      <w:ind w:left="720"/>
      <w:contextualSpacing/>
    </w:pPr>
  </w:style>
  <w:style w:type="table" w:styleId="TableGrid">
    <w:name w:val="Table Grid"/>
    <w:basedOn w:val="TableNormal"/>
    <w:uiPriority w:val="59"/>
    <w:rsid w:val="00054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Normal"/>
    <w:uiPriority w:val="60"/>
    <w:rsid w:val="00054E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14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AF7"/>
    <w:rPr>
      <w:rFonts w:ascii="Tahoma" w:hAnsi="Tahoma" w:cs="Tahoma"/>
      <w:sz w:val="16"/>
      <w:szCs w:val="16"/>
    </w:rPr>
  </w:style>
  <w:style w:type="character" w:styleId="CommentReference">
    <w:name w:val="annotation reference"/>
    <w:basedOn w:val="DefaultParagraphFont"/>
    <w:uiPriority w:val="99"/>
    <w:semiHidden/>
    <w:unhideWhenUsed/>
    <w:rsid w:val="00403BE0"/>
    <w:rPr>
      <w:sz w:val="16"/>
      <w:szCs w:val="16"/>
    </w:rPr>
  </w:style>
  <w:style w:type="paragraph" w:styleId="CommentText">
    <w:name w:val="annotation text"/>
    <w:basedOn w:val="Normal"/>
    <w:link w:val="CommentTextChar"/>
    <w:uiPriority w:val="99"/>
    <w:semiHidden/>
    <w:unhideWhenUsed/>
    <w:rsid w:val="00403BE0"/>
    <w:pPr>
      <w:spacing w:line="240" w:lineRule="auto"/>
    </w:pPr>
    <w:rPr>
      <w:sz w:val="20"/>
      <w:szCs w:val="20"/>
    </w:rPr>
  </w:style>
  <w:style w:type="character" w:customStyle="1" w:styleId="CommentTextChar">
    <w:name w:val="Comment Text Char"/>
    <w:basedOn w:val="DefaultParagraphFont"/>
    <w:link w:val="CommentText"/>
    <w:uiPriority w:val="99"/>
    <w:semiHidden/>
    <w:rsid w:val="00403BE0"/>
    <w:rPr>
      <w:sz w:val="20"/>
      <w:szCs w:val="20"/>
    </w:rPr>
  </w:style>
  <w:style w:type="paragraph" w:styleId="CommentSubject">
    <w:name w:val="annotation subject"/>
    <w:basedOn w:val="CommentText"/>
    <w:next w:val="CommentText"/>
    <w:link w:val="CommentSubjectChar"/>
    <w:uiPriority w:val="99"/>
    <w:semiHidden/>
    <w:unhideWhenUsed/>
    <w:rsid w:val="00403BE0"/>
    <w:rPr>
      <w:b/>
      <w:bCs/>
    </w:rPr>
  </w:style>
  <w:style w:type="character" w:customStyle="1" w:styleId="CommentSubjectChar">
    <w:name w:val="Comment Subject Char"/>
    <w:basedOn w:val="CommentTextChar"/>
    <w:link w:val="CommentSubject"/>
    <w:uiPriority w:val="99"/>
    <w:semiHidden/>
    <w:rsid w:val="00403BE0"/>
    <w:rPr>
      <w:b/>
      <w:bCs/>
      <w:sz w:val="20"/>
      <w:szCs w:val="20"/>
    </w:rPr>
  </w:style>
  <w:style w:type="paragraph" w:styleId="Header">
    <w:name w:val="header"/>
    <w:basedOn w:val="Normal"/>
    <w:link w:val="HeaderChar"/>
    <w:uiPriority w:val="99"/>
    <w:semiHidden/>
    <w:unhideWhenUsed/>
    <w:rsid w:val="002A51D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A51D3"/>
  </w:style>
  <w:style w:type="paragraph" w:styleId="Footer">
    <w:name w:val="footer"/>
    <w:basedOn w:val="Normal"/>
    <w:link w:val="FooterChar"/>
    <w:uiPriority w:val="99"/>
    <w:unhideWhenUsed/>
    <w:rsid w:val="002A51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1D3"/>
  </w:style>
  <w:style w:type="paragraph" w:styleId="NoSpacing">
    <w:name w:val="No Spacing"/>
    <w:link w:val="NoSpacingChar"/>
    <w:uiPriority w:val="1"/>
    <w:qFormat/>
    <w:rsid w:val="00D829E6"/>
    <w:pPr>
      <w:spacing w:after="0" w:line="240" w:lineRule="auto"/>
    </w:pPr>
    <w:rPr>
      <w:rFonts w:eastAsiaTheme="minorEastAsia"/>
      <w:lang w:val="fr-FR"/>
    </w:rPr>
  </w:style>
  <w:style w:type="character" w:customStyle="1" w:styleId="NoSpacingChar">
    <w:name w:val="No Spacing Char"/>
    <w:basedOn w:val="DefaultParagraphFont"/>
    <w:link w:val="NoSpacing"/>
    <w:uiPriority w:val="1"/>
    <w:rsid w:val="00D829E6"/>
    <w:rPr>
      <w:rFonts w:eastAsiaTheme="minorEastAsia"/>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958"/>
    <w:pPr>
      <w:ind w:left="720"/>
      <w:contextualSpacing/>
    </w:pPr>
  </w:style>
  <w:style w:type="table" w:styleId="TableGrid">
    <w:name w:val="Table Grid"/>
    <w:basedOn w:val="TableNormal"/>
    <w:uiPriority w:val="59"/>
    <w:rsid w:val="00054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Normal"/>
    <w:uiPriority w:val="60"/>
    <w:rsid w:val="00054EB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14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AF7"/>
    <w:rPr>
      <w:rFonts w:ascii="Tahoma" w:hAnsi="Tahoma" w:cs="Tahoma"/>
      <w:sz w:val="16"/>
      <w:szCs w:val="16"/>
    </w:rPr>
  </w:style>
  <w:style w:type="character" w:styleId="CommentReference">
    <w:name w:val="annotation reference"/>
    <w:basedOn w:val="DefaultParagraphFont"/>
    <w:uiPriority w:val="99"/>
    <w:semiHidden/>
    <w:unhideWhenUsed/>
    <w:rsid w:val="00403BE0"/>
    <w:rPr>
      <w:sz w:val="16"/>
      <w:szCs w:val="16"/>
    </w:rPr>
  </w:style>
  <w:style w:type="paragraph" w:styleId="CommentText">
    <w:name w:val="annotation text"/>
    <w:basedOn w:val="Normal"/>
    <w:link w:val="CommentTextChar"/>
    <w:uiPriority w:val="99"/>
    <w:semiHidden/>
    <w:unhideWhenUsed/>
    <w:rsid w:val="00403BE0"/>
    <w:pPr>
      <w:spacing w:line="240" w:lineRule="auto"/>
    </w:pPr>
    <w:rPr>
      <w:sz w:val="20"/>
      <w:szCs w:val="20"/>
    </w:rPr>
  </w:style>
  <w:style w:type="character" w:customStyle="1" w:styleId="CommentTextChar">
    <w:name w:val="Comment Text Char"/>
    <w:basedOn w:val="DefaultParagraphFont"/>
    <w:link w:val="CommentText"/>
    <w:uiPriority w:val="99"/>
    <w:semiHidden/>
    <w:rsid w:val="00403BE0"/>
    <w:rPr>
      <w:sz w:val="20"/>
      <w:szCs w:val="20"/>
    </w:rPr>
  </w:style>
  <w:style w:type="paragraph" w:styleId="CommentSubject">
    <w:name w:val="annotation subject"/>
    <w:basedOn w:val="CommentText"/>
    <w:next w:val="CommentText"/>
    <w:link w:val="CommentSubjectChar"/>
    <w:uiPriority w:val="99"/>
    <w:semiHidden/>
    <w:unhideWhenUsed/>
    <w:rsid w:val="00403BE0"/>
    <w:rPr>
      <w:b/>
      <w:bCs/>
    </w:rPr>
  </w:style>
  <w:style w:type="character" w:customStyle="1" w:styleId="CommentSubjectChar">
    <w:name w:val="Comment Subject Char"/>
    <w:basedOn w:val="CommentTextChar"/>
    <w:link w:val="CommentSubject"/>
    <w:uiPriority w:val="99"/>
    <w:semiHidden/>
    <w:rsid w:val="00403BE0"/>
    <w:rPr>
      <w:b/>
      <w:bCs/>
      <w:sz w:val="20"/>
      <w:szCs w:val="20"/>
    </w:rPr>
  </w:style>
  <w:style w:type="paragraph" w:styleId="Header">
    <w:name w:val="header"/>
    <w:basedOn w:val="Normal"/>
    <w:link w:val="HeaderChar"/>
    <w:uiPriority w:val="99"/>
    <w:semiHidden/>
    <w:unhideWhenUsed/>
    <w:rsid w:val="002A51D3"/>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A51D3"/>
  </w:style>
  <w:style w:type="paragraph" w:styleId="Footer">
    <w:name w:val="footer"/>
    <w:basedOn w:val="Normal"/>
    <w:link w:val="FooterChar"/>
    <w:uiPriority w:val="99"/>
    <w:unhideWhenUsed/>
    <w:rsid w:val="002A51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1D3"/>
  </w:style>
  <w:style w:type="paragraph" w:styleId="NoSpacing">
    <w:name w:val="No Spacing"/>
    <w:link w:val="NoSpacingChar"/>
    <w:uiPriority w:val="1"/>
    <w:qFormat/>
    <w:rsid w:val="00D829E6"/>
    <w:pPr>
      <w:spacing w:after="0" w:line="240" w:lineRule="auto"/>
    </w:pPr>
    <w:rPr>
      <w:rFonts w:eastAsiaTheme="minorEastAsia"/>
      <w:lang w:val="fr-FR"/>
    </w:rPr>
  </w:style>
  <w:style w:type="character" w:customStyle="1" w:styleId="NoSpacingChar">
    <w:name w:val="No Spacing Char"/>
    <w:basedOn w:val="DefaultParagraphFont"/>
    <w:link w:val="NoSpacing"/>
    <w:uiPriority w:val="1"/>
    <w:rsid w:val="00D829E6"/>
    <w:rPr>
      <w:rFonts w:eastAsiaTheme="minorEastAs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2016-02-08T00:00:00</PublishDate>
  <Abstract>08 Février 2016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837FFC-F45F-466A-B426-90AE9AAD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12761</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Loi sur la restructuration des régimes de retraite à prestations déterminées du secteur universitaire et modifiant diverses dispositions législatives</vt:lpstr>
      <vt:lpstr>Loi sur la restructuration des régimes de retraite à prestations déterminées du secteur universitaire et modifiant diverses dispositions législatives</vt:lpstr>
    </vt:vector>
  </TitlesOfParts>
  <Company>Association DES PROFESSEURS DE L'UNIVERSITE BISHOP'S (APBU)</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sur la restructuration des régimes de retraite à prestations déterminées du secteur universitaire et modifiant diverses dispositions législatives</dc:title>
  <dc:subject>Projet de Loi no 75</dc:subject>
  <dc:creator>Mémoire présenté à la Commission de l’économie et du travail</dc:creator>
  <cp:lastModifiedBy>itsconsult</cp:lastModifiedBy>
  <cp:revision>2</cp:revision>
  <cp:lastPrinted>2016-02-01T21:54:00Z</cp:lastPrinted>
  <dcterms:created xsi:type="dcterms:W3CDTF">2016-02-01T22:05:00Z</dcterms:created>
  <dcterms:modified xsi:type="dcterms:W3CDTF">2016-02-01T22:05:00Z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